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689" w14:textId="572A9ABC" w:rsidR="006A29A1" w:rsidRPr="008B18FC" w:rsidRDefault="008B18FC" w:rsidP="008B18FC">
      <w:pPr>
        <w:jc w:val="center"/>
        <w:rPr>
          <w:rFonts w:ascii="Times New Roman" w:hAnsi="Times New Roman" w:cs="Times New Roman"/>
          <w:b/>
          <w:bCs/>
          <w:sz w:val="20"/>
          <w:szCs w:val="20"/>
        </w:rPr>
      </w:pPr>
      <w:r w:rsidRPr="008B18FC">
        <w:rPr>
          <w:rFonts w:ascii="Times New Roman" w:hAnsi="Times New Roman" w:cs="Times New Roman"/>
          <w:b/>
          <w:bCs/>
          <w:sz w:val="20"/>
          <w:szCs w:val="20"/>
        </w:rPr>
        <w:t xml:space="preserve">Muscle Synergy Analysis of </w:t>
      </w:r>
      <w:proofErr w:type="spellStart"/>
      <w:r w:rsidRPr="008B18FC">
        <w:rPr>
          <w:rFonts w:ascii="Times New Roman" w:hAnsi="Times New Roman" w:cs="Times New Roman"/>
          <w:b/>
          <w:bCs/>
          <w:sz w:val="20"/>
          <w:szCs w:val="20"/>
        </w:rPr>
        <w:t>tSCS</w:t>
      </w:r>
      <w:proofErr w:type="spellEnd"/>
      <w:r w:rsidRPr="008B18FC">
        <w:rPr>
          <w:rFonts w:ascii="Times New Roman" w:hAnsi="Times New Roman" w:cs="Times New Roman"/>
          <w:b/>
          <w:bCs/>
          <w:sz w:val="20"/>
          <w:szCs w:val="20"/>
        </w:rPr>
        <w:t>-Assisted Balance Training with a Robotic STAND Trainer</w:t>
      </w:r>
    </w:p>
    <w:p w14:paraId="628DE47C" w14:textId="77777777" w:rsidR="008B18FC" w:rsidRPr="008B18FC" w:rsidRDefault="008B18FC" w:rsidP="008B18FC">
      <w:pPr>
        <w:jc w:val="center"/>
        <w:rPr>
          <w:rFonts w:ascii="Times New Roman" w:hAnsi="Times New Roman" w:cs="Times New Roman"/>
          <w:sz w:val="20"/>
          <w:szCs w:val="20"/>
        </w:rPr>
      </w:pPr>
      <w:r w:rsidRPr="008B18FC">
        <w:rPr>
          <w:rFonts w:ascii="Times New Roman" w:hAnsi="Times New Roman" w:cs="Times New Roman"/>
          <w:sz w:val="20"/>
          <w:szCs w:val="20"/>
          <w:u w:val="single"/>
        </w:rPr>
        <w:t>Tara H. Kimiavi</w:t>
      </w:r>
      <w:r w:rsidRPr="008B18FC">
        <w:rPr>
          <w:rFonts w:ascii="Times New Roman" w:hAnsi="Times New Roman" w:cs="Times New Roman"/>
          <w:sz w:val="20"/>
          <w:szCs w:val="20"/>
        </w:rPr>
        <w:t>, Robert M. Carrera, Sunil K. Agrawal</w:t>
      </w:r>
    </w:p>
    <w:p w14:paraId="7883467B" w14:textId="77777777" w:rsidR="008B18FC" w:rsidRPr="008B18FC" w:rsidRDefault="008B18FC" w:rsidP="008B18FC">
      <w:pPr>
        <w:jc w:val="center"/>
        <w:rPr>
          <w:rFonts w:ascii="Times New Roman" w:hAnsi="Times New Roman" w:cs="Times New Roman"/>
          <w:sz w:val="20"/>
          <w:szCs w:val="20"/>
        </w:rPr>
      </w:pPr>
      <w:r w:rsidRPr="008B18FC">
        <w:rPr>
          <w:rFonts w:ascii="Times New Roman" w:hAnsi="Times New Roman" w:cs="Times New Roman"/>
          <w:sz w:val="20"/>
          <w:szCs w:val="20"/>
        </w:rPr>
        <w:t>Robotics and Rehabilitation Laboratory, Department of Mechanical Engineering, Columbia University</w:t>
      </w:r>
    </w:p>
    <w:p w14:paraId="63672D2A" w14:textId="77777777" w:rsidR="008B18FC" w:rsidRPr="008B18FC" w:rsidRDefault="008B18FC" w:rsidP="008B18FC">
      <w:pPr>
        <w:rPr>
          <w:rFonts w:ascii="Times New Roman" w:hAnsi="Times New Roman" w:cs="Times New Roman"/>
          <w:sz w:val="20"/>
          <w:szCs w:val="20"/>
        </w:rPr>
      </w:pPr>
    </w:p>
    <w:p w14:paraId="6F70A8B4" w14:textId="77777777" w:rsidR="008B18FC" w:rsidRDefault="008B18FC" w:rsidP="008B18FC">
      <w:pPr>
        <w:rPr>
          <w:rFonts w:ascii="Times New Roman" w:hAnsi="Times New Roman" w:cs="Times New Roman"/>
          <w:b/>
          <w:bCs/>
          <w:sz w:val="20"/>
          <w:szCs w:val="20"/>
        </w:rPr>
        <w:sectPr w:rsidR="008B18FC">
          <w:pgSz w:w="12240" w:h="15840"/>
          <w:pgMar w:top="1440" w:right="1440" w:bottom="1440" w:left="1440" w:header="720" w:footer="720" w:gutter="0"/>
          <w:cols w:space="720"/>
          <w:docGrid w:linePitch="360"/>
        </w:sectPr>
      </w:pPr>
    </w:p>
    <w:p w14:paraId="630F523A" w14:textId="3B7867BA" w:rsidR="008B18FC" w:rsidRPr="007B5C95" w:rsidRDefault="008B18FC" w:rsidP="007B5C95">
      <w:pPr>
        <w:jc w:val="both"/>
        <w:rPr>
          <w:rFonts w:ascii="Times New Roman" w:hAnsi="Times New Roman" w:cs="Times New Roman"/>
          <w:b/>
          <w:bCs/>
          <w:sz w:val="20"/>
          <w:szCs w:val="20"/>
        </w:rPr>
      </w:pPr>
      <w:r w:rsidRPr="008B18FC">
        <w:rPr>
          <w:rFonts w:ascii="Times New Roman" w:hAnsi="Times New Roman" w:cs="Times New Roman"/>
          <w:b/>
          <w:bCs/>
          <w:sz w:val="20"/>
          <w:szCs w:val="20"/>
        </w:rPr>
        <w:t xml:space="preserve">Introduction: </w:t>
      </w:r>
      <w:r w:rsidRPr="008B18FC">
        <w:rPr>
          <w:rFonts w:ascii="Times New Roman" w:hAnsi="Times New Roman" w:cs="Times New Roman"/>
          <w:color w:val="000000"/>
          <w:sz w:val="20"/>
          <w:szCs w:val="20"/>
        </w:rPr>
        <w:t>Muscle synergy analysis is often used as an outcome measurement for task performance</w:t>
      </w:r>
      <w:r w:rsidRPr="008B18FC">
        <w:rPr>
          <w:rFonts w:ascii="Times New Roman" w:hAnsi="Times New Roman" w:cs="Times New Roman"/>
          <w:color w:val="000000"/>
          <w:sz w:val="20"/>
          <w:szCs w:val="20"/>
          <w:vertAlign w:val="superscript"/>
        </w:rPr>
        <w:t>1</w:t>
      </w:r>
      <w:r w:rsidRPr="008B18FC">
        <w:rPr>
          <w:rFonts w:ascii="Times New Roman" w:hAnsi="Times New Roman" w:cs="Times New Roman"/>
          <w:color w:val="000000"/>
          <w:sz w:val="20"/>
          <w:szCs w:val="20"/>
        </w:rPr>
        <w:t xml:space="preserve"> </w:t>
      </w:r>
      <w:r w:rsidRPr="008B18FC">
        <w:rPr>
          <w:rFonts w:ascii="Times New Roman" w:hAnsi="Times New Roman" w:cs="Times New Roman"/>
          <w:color w:val="000000"/>
          <w:sz w:val="20"/>
          <w:szCs w:val="20"/>
        </w:rPr>
        <w:t>to investigate how the central nervous system coordinates movement in healthy individuals and in subjects with neuromuscular impairments</w:t>
      </w:r>
      <w:r w:rsidRPr="008B18FC">
        <w:rPr>
          <w:rFonts w:ascii="Times New Roman" w:hAnsi="Times New Roman" w:cs="Times New Roman"/>
          <w:color w:val="000000"/>
          <w:sz w:val="20"/>
          <w:szCs w:val="20"/>
          <w:vertAlign w:val="superscript"/>
        </w:rPr>
        <w:t>2</w:t>
      </w:r>
      <w:r w:rsidRPr="008B18FC">
        <w:rPr>
          <w:rFonts w:ascii="Times New Roman" w:hAnsi="Times New Roman" w:cs="Times New Roman"/>
          <w:color w:val="000000"/>
          <w:sz w:val="20"/>
          <w:szCs w:val="20"/>
        </w:rPr>
        <w:t>. T</w:t>
      </w:r>
      <w:r w:rsidRPr="008B18FC">
        <w:rPr>
          <w:rFonts w:ascii="Times New Roman" w:hAnsi="Times New Roman" w:cs="Times New Roman"/>
          <w:color w:val="000000"/>
          <w:sz w:val="20"/>
          <w:szCs w:val="20"/>
        </w:rPr>
        <w:t>ranscutaneous spinal cord stimulation (</w:t>
      </w:r>
      <w:proofErr w:type="spellStart"/>
      <w:r w:rsidRPr="008B18FC">
        <w:rPr>
          <w:rFonts w:ascii="Times New Roman" w:hAnsi="Times New Roman" w:cs="Times New Roman"/>
          <w:color w:val="000000"/>
          <w:sz w:val="20"/>
          <w:szCs w:val="20"/>
        </w:rPr>
        <w:t>tSCS</w:t>
      </w:r>
      <w:proofErr w:type="spellEnd"/>
      <w:r w:rsidRPr="008B18FC">
        <w:rPr>
          <w:rFonts w:ascii="Times New Roman" w:hAnsi="Times New Roman" w:cs="Times New Roman"/>
          <w:color w:val="000000"/>
          <w:sz w:val="20"/>
          <w:szCs w:val="20"/>
        </w:rPr>
        <w:t>) is a validated rehabilitation technique used to facilitate greater locomotor function in post-spinal cord injury (SCI) patient</w:t>
      </w:r>
      <w:r w:rsidRPr="008B18FC">
        <w:rPr>
          <w:rFonts w:ascii="Times New Roman" w:hAnsi="Times New Roman" w:cs="Times New Roman"/>
          <w:color w:val="000000"/>
          <w:sz w:val="20"/>
          <w:szCs w:val="20"/>
        </w:rPr>
        <w:t xml:space="preserve">s </w:t>
      </w:r>
      <w:r w:rsidRPr="008B18FC">
        <w:rPr>
          <w:rFonts w:ascii="Times New Roman" w:hAnsi="Times New Roman" w:cs="Times New Roman"/>
          <w:color w:val="000000"/>
          <w:sz w:val="20"/>
          <w:szCs w:val="20"/>
          <w:vertAlign w:val="superscript"/>
        </w:rPr>
        <w:t>3-4</w:t>
      </w:r>
      <w:r w:rsidRPr="008B18FC">
        <w:rPr>
          <w:rFonts w:ascii="Times New Roman" w:hAnsi="Times New Roman" w:cs="Times New Roman"/>
          <w:color w:val="000000"/>
          <w:sz w:val="20"/>
          <w:szCs w:val="20"/>
        </w:rPr>
        <w:t>. When combined with functional training tasks,</w:t>
      </w:r>
      <w:r w:rsidRPr="008B18FC">
        <w:rPr>
          <w:rFonts w:ascii="Times New Roman" w:hAnsi="Times New Roman" w:cs="Times New Roman"/>
          <w:color w:val="000000"/>
          <w:sz w:val="20"/>
          <w:szCs w:val="20"/>
        </w:rPr>
        <w:t xml:space="preserve"> </w:t>
      </w:r>
      <w:proofErr w:type="spellStart"/>
      <w:r w:rsidRPr="008B18FC">
        <w:rPr>
          <w:rFonts w:ascii="Times New Roman" w:hAnsi="Times New Roman" w:cs="Times New Roman"/>
          <w:color w:val="000000"/>
          <w:sz w:val="20"/>
          <w:szCs w:val="20"/>
        </w:rPr>
        <w:t>tSCS</w:t>
      </w:r>
      <w:proofErr w:type="spellEnd"/>
      <w:r w:rsidRPr="008B18FC">
        <w:rPr>
          <w:rFonts w:ascii="Times New Roman" w:hAnsi="Times New Roman" w:cs="Times New Roman"/>
          <w:color w:val="000000"/>
          <w:sz w:val="20"/>
          <w:szCs w:val="20"/>
        </w:rPr>
        <w:t xml:space="preserve"> has also been shown to facilitate greater balance control in patients with SC</w:t>
      </w:r>
      <w:r w:rsidRPr="008B18FC">
        <w:rPr>
          <w:rFonts w:ascii="Times New Roman" w:hAnsi="Times New Roman" w:cs="Times New Roman"/>
          <w:color w:val="000000"/>
          <w:sz w:val="20"/>
          <w:szCs w:val="20"/>
        </w:rPr>
        <w:t>I</w:t>
      </w:r>
      <w:r w:rsidRPr="008B18FC">
        <w:rPr>
          <w:rFonts w:ascii="Times New Roman" w:hAnsi="Times New Roman" w:cs="Times New Roman"/>
          <w:color w:val="000000"/>
          <w:sz w:val="20"/>
          <w:szCs w:val="20"/>
          <w:vertAlign w:val="superscript"/>
        </w:rPr>
        <w:t>4</w:t>
      </w:r>
      <w:r w:rsidRPr="008B18FC">
        <w:rPr>
          <w:rFonts w:ascii="Times New Roman" w:hAnsi="Times New Roman" w:cs="Times New Roman"/>
          <w:color w:val="000000"/>
          <w:sz w:val="20"/>
          <w:szCs w:val="20"/>
        </w:rPr>
        <w:t xml:space="preserve">. combination of </w:t>
      </w:r>
      <w:proofErr w:type="spellStart"/>
      <w:r w:rsidRPr="008B18FC">
        <w:rPr>
          <w:rFonts w:ascii="Times New Roman" w:hAnsi="Times New Roman" w:cs="Times New Roman"/>
          <w:color w:val="000000"/>
          <w:sz w:val="20"/>
          <w:szCs w:val="20"/>
        </w:rPr>
        <w:t>tSCS</w:t>
      </w:r>
      <w:proofErr w:type="spellEnd"/>
      <w:r w:rsidRPr="008B18FC">
        <w:rPr>
          <w:rFonts w:ascii="Times New Roman" w:hAnsi="Times New Roman" w:cs="Times New Roman"/>
          <w:color w:val="000000"/>
          <w:sz w:val="20"/>
          <w:szCs w:val="20"/>
        </w:rPr>
        <w:t xml:space="preserve"> and functional balance training with the robotic STAND trainer</w:t>
      </w:r>
      <w:r w:rsidRPr="008B18FC">
        <w:rPr>
          <w:rFonts w:ascii="Times New Roman" w:hAnsi="Times New Roman" w:cs="Times New Roman"/>
          <w:color w:val="000000"/>
          <w:sz w:val="20"/>
          <w:szCs w:val="20"/>
          <w:vertAlign w:val="superscript"/>
        </w:rPr>
        <w:t>5</w:t>
      </w:r>
      <w:r w:rsidRPr="008B18FC">
        <w:rPr>
          <w:rFonts w:ascii="Times New Roman" w:hAnsi="Times New Roman" w:cs="Times New Roman"/>
          <w:color w:val="000000"/>
          <w:sz w:val="20"/>
          <w:szCs w:val="20"/>
        </w:rPr>
        <w:t xml:space="preserve"> may facilitate balance restoration and the formation of more complex muscle synergies for patients with spinal cord injury. The objective of this project is to facilitate balance restoration in patients with severe spinal cord injury using the STAND trainer and transcutaneous spinal cord stimulation while developing an advanced electromyographic filtering and  muscle synergy analysis toolbox in MATLAB for experimental use.</w:t>
      </w:r>
    </w:p>
    <w:p w14:paraId="44F9A524" w14:textId="2FDEA2D4" w:rsidR="008B18FC" w:rsidRPr="008B18FC" w:rsidRDefault="008B18FC" w:rsidP="007B5C95">
      <w:pPr>
        <w:pStyle w:val="NormalWeb"/>
        <w:spacing w:before="0" w:beforeAutospacing="0" w:after="0" w:afterAutospacing="0"/>
        <w:jc w:val="both"/>
        <w:rPr>
          <w:rFonts w:eastAsiaTheme="minorHAnsi"/>
          <w:color w:val="000000"/>
          <w:kern w:val="2"/>
          <w:sz w:val="20"/>
          <w:szCs w:val="20"/>
          <w14:ligatures w14:val="standardContextual"/>
        </w:rPr>
      </w:pPr>
      <w:r w:rsidRPr="008B18FC">
        <w:rPr>
          <w:b/>
          <w:bCs/>
          <w:sz w:val="20"/>
          <w:szCs w:val="20"/>
        </w:rPr>
        <w:t>Methods:</w:t>
      </w:r>
      <w:r w:rsidRPr="008B18FC">
        <w:rPr>
          <w:sz w:val="20"/>
          <w:szCs w:val="20"/>
        </w:rPr>
        <w:t xml:space="preserve"> </w:t>
      </w:r>
      <w:r w:rsidRPr="008B18FC">
        <w:rPr>
          <w:rFonts w:eastAsiaTheme="minorHAnsi"/>
          <w:color w:val="000000"/>
          <w:kern w:val="2"/>
          <w:sz w:val="20"/>
          <w:szCs w:val="20"/>
          <w14:ligatures w14:val="standardContextual"/>
        </w:rPr>
        <w:t xml:space="preserve">A single able-bodied subject completed two excursion postural lean trials in the STAND trainer with and without </w:t>
      </w:r>
      <w:proofErr w:type="spellStart"/>
      <w:r w:rsidRPr="008B18FC">
        <w:rPr>
          <w:rFonts w:eastAsiaTheme="minorHAnsi"/>
          <w:color w:val="000000"/>
          <w:kern w:val="2"/>
          <w:sz w:val="20"/>
          <w:szCs w:val="20"/>
          <w14:ligatures w14:val="standardContextual"/>
        </w:rPr>
        <w:t>tSCS</w:t>
      </w:r>
      <w:proofErr w:type="spellEnd"/>
      <w:r w:rsidRPr="008B18FC">
        <w:rPr>
          <w:rFonts w:eastAsiaTheme="minorHAnsi"/>
          <w:color w:val="000000"/>
          <w:kern w:val="2"/>
          <w:sz w:val="20"/>
          <w:szCs w:val="20"/>
          <w14:ligatures w14:val="standardContextual"/>
        </w:rPr>
        <w:t xml:space="preserve"> assistance</w:t>
      </w:r>
      <w:r w:rsidRPr="008B18FC">
        <w:rPr>
          <w:rFonts w:eastAsiaTheme="minorHAnsi"/>
          <w:color w:val="000000"/>
          <w:kern w:val="2"/>
          <w:sz w:val="20"/>
          <w:szCs w:val="20"/>
          <w14:ligatures w14:val="standardContextual"/>
        </w:rPr>
        <w:t>. Each excursion trial consisted of moving the trunk in 8 different lean directions while keeping the feet firmly planted onto the ground to form a “postural star”</w:t>
      </w:r>
      <w:r w:rsidRPr="008B18FC">
        <w:rPr>
          <w:rFonts w:eastAsiaTheme="minorHAnsi"/>
          <w:color w:val="000000"/>
          <w:kern w:val="2"/>
          <w:sz w:val="20"/>
          <w:szCs w:val="20"/>
          <w14:ligatures w14:val="standardContextual"/>
        </w:rPr>
        <w:t xml:space="preserve">. </w:t>
      </w:r>
      <w:r w:rsidRPr="008B18FC">
        <w:rPr>
          <w:rFonts w:eastAsiaTheme="minorHAnsi"/>
          <w:color w:val="000000"/>
          <w:kern w:val="2"/>
          <w:sz w:val="20"/>
          <w:szCs w:val="20"/>
          <w14:ligatures w14:val="standardContextual"/>
        </w:rPr>
        <w:t xml:space="preserve">Under the </w:t>
      </w:r>
      <w:proofErr w:type="spellStart"/>
      <w:r w:rsidRPr="008B18FC">
        <w:rPr>
          <w:rFonts w:eastAsiaTheme="minorHAnsi"/>
          <w:color w:val="000000"/>
          <w:kern w:val="2"/>
          <w:sz w:val="20"/>
          <w:szCs w:val="20"/>
          <w14:ligatures w14:val="standardContextual"/>
        </w:rPr>
        <w:t>tSCS</w:t>
      </w:r>
      <w:proofErr w:type="spellEnd"/>
      <w:r w:rsidRPr="008B18FC">
        <w:rPr>
          <w:rFonts w:eastAsiaTheme="minorHAnsi"/>
          <w:color w:val="000000"/>
          <w:kern w:val="2"/>
          <w:sz w:val="20"/>
          <w:szCs w:val="20"/>
          <w14:ligatures w14:val="standardContextual"/>
        </w:rPr>
        <w:t xml:space="preserve"> condition, electrical stimulation was provided bilaterally at the anterior superior iliac spine (ASIS) and between T12-L1 on the lower spine. Electromyographic (EMG) signals were collected </w:t>
      </w:r>
      <w:r w:rsidRPr="008B18FC">
        <w:rPr>
          <w:rFonts w:eastAsiaTheme="minorHAnsi"/>
          <w:color w:val="000000"/>
          <w:kern w:val="2"/>
          <w:sz w:val="20"/>
          <w:szCs w:val="20"/>
          <w14:ligatures w14:val="standardContextual"/>
        </w:rPr>
        <w:t>bilaterally from</w:t>
      </w:r>
      <w:r w:rsidRPr="008B18FC">
        <w:rPr>
          <w:rFonts w:eastAsiaTheme="minorHAnsi"/>
          <w:color w:val="000000"/>
          <w:kern w:val="2"/>
          <w:sz w:val="20"/>
          <w:szCs w:val="20"/>
          <w14:ligatures w14:val="standardContextual"/>
        </w:rPr>
        <w:t xml:space="preserve"> the soleus (SOL), tibialis anterior (TA), lateral gastrocnemius (GA), rectus femoris (RF), biceps femoris (BF), gluteus </w:t>
      </w:r>
      <w:proofErr w:type="spellStart"/>
      <w:r w:rsidRPr="008B18FC">
        <w:rPr>
          <w:rFonts w:eastAsiaTheme="minorHAnsi"/>
          <w:color w:val="000000"/>
          <w:kern w:val="2"/>
          <w:sz w:val="20"/>
          <w:szCs w:val="20"/>
          <w14:ligatures w14:val="standardContextual"/>
        </w:rPr>
        <w:t>medius</w:t>
      </w:r>
      <w:proofErr w:type="spellEnd"/>
      <w:r w:rsidRPr="008B18FC">
        <w:rPr>
          <w:rFonts w:eastAsiaTheme="minorHAnsi"/>
          <w:color w:val="000000"/>
          <w:kern w:val="2"/>
          <w:sz w:val="20"/>
          <w:szCs w:val="20"/>
          <w14:ligatures w14:val="standardContextual"/>
        </w:rPr>
        <w:t xml:space="preserve"> (GM), rectus abdominis (ABD), and erector spinae (ES). Unwanted frequency components created by </w:t>
      </w:r>
      <w:proofErr w:type="spellStart"/>
      <w:r w:rsidRPr="008B18FC">
        <w:rPr>
          <w:rFonts w:eastAsiaTheme="minorHAnsi"/>
          <w:color w:val="000000"/>
          <w:kern w:val="2"/>
          <w:sz w:val="20"/>
          <w:szCs w:val="20"/>
          <w14:ligatures w14:val="standardContextual"/>
        </w:rPr>
        <w:t>tSCS</w:t>
      </w:r>
      <w:proofErr w:type="spellEnd"/>
      <w:r w:rsidRPr="008B18FC">
        <w:rPr>
          <w:rFonts w:eastAsiaTheme="minorHAnsi"/>
          <w:color w:val="000000"/>
          <w:kern w:val="2"/>
          <w:sz w:val="20"/>
          <w:szCs w:val="20"/>
          <w14:ligatures w14:val="standardContextual"/>
        </w:rPr>
        <w:t xml:space="preserve"> were removed using an open-source ACSR filter</w:t>
      </w:r>
      <w:r w:rsidRPr="008B18FC">
        <w:rPr>
          <w:rFonts w:eastAsiaTheme="minorHAnsi"/>
          <w:color w:val="000000"/>
          <w:kern w:val="2"/>
          <w:sz w:val="20"/>
          <w:szCs w:val="20"/>
          <w:vertAlign w:val="superscript"/>
          <w14:ligatures w14:val="standardContextual"/>
        </w:rPr>
        <w:t>8</w:t>
      </w:r>
      <w:r w:rsidRPr="008B18FC">
        <w:rPr>
          <w:rFonts w:eastAsiaTheme="minorHAnsi"/>
          <w:color w:val="000000"/>
          <w:kern w:val="2"/>
          <w:sz w:val="20"/>
          <w:szCs w:val="20"/>
          <w14:ligatures w14:val="standardContextual"/>
        </w:rPr>
        <w:t xml:space="preserve">. EMG signals were then </w:t>
      </w:r>
      <w:r w:rsidRPr="008B18FC">
        <w:rPr>
          <w:rFonts w:eastAsiaTheme="minorHAnsi"/>
          <w:color w:val="000000"/>
          <w:kern w:val="2"/>
          <w:sz w:val="20"/>
          <w:szCs w:val="20"/>
          <w14:ligatures w14:val="standardContextual"/>
        </w:rPr>
        <w:t xml:space="preserve">Hampel filtered, </w:t>
      </w:r>
      <w:r w:rsidRPr="008B18FC">
        <w:rPr>
          <w:rFonts w:eastAsiaTheme="minorHAnsi"/>
          <w:color w:val="000000"/>
          <w:kern w:val="2"/>
          <w:sz w:val="20"/>
          <w:szCs w:val="20"/>
          <w14:ligatures w14:val="standardContextual"/>
        </w:rPr>
        <w:t xml:space="preserve">bandpass filtered between 20-400Hz, rectified, and lowpass filtered at </w:t>
      </w:r>
      <w:r w:rsidRPr="008B18FC">
        <w:rPr>
          <w:rFonts w:eastAsiaTheme="minorHAnsi"/>
          <w:color w:val="000000"/>
          <w:kern w:val="2"/>
          <w:sz w:val="20"/>
          <w:szCs w:val="20"/>
          <w14:ligatures w14:val="standardContextual"/>
        </w:rPr>
        <w:t>4</w:t>
      </w:r>
      <w:r w:rsidRPr="008B18FC">
        <w:rPr>
          <w:rFonts w:eastAsiaTheme="minorHAnsi"/>
          <w:color w:val="000000"/>
          <w:kern w:val="2"/>
          <w:sz w:val="20"/>
          <w:szCs w:val="20"/>
          <w14:ligatures w14:val="standardContextual"/>
        </w:rPr>
        <w:t xml:space="preserve">0Hz to create a linear envelope </w:t>
      </w:r>
      <w:r w:rsidRPr="008B18FC">
        <w:rPr>
          <w:rFonts w:eastAsiaTheme="minorHAnsi"/>
          <w:color w:val="000000"/>
          <w:kern w:val="2"/>
          <w:sz w:val="20"/>
          <w:szCs w:val="20"/>
          <w:vertAlign w:val="superscript"/>
          <w14:ligatures w14:val="standardContextual"/>
        </w:rPr>
        <w:t>9</w:t>
      </w:r>
      <w:r w:rsidRPr="008B18FC">
        <w:rPr>
          <w:rFonts w:eastAsiaTheme="minorHAnsi"/>
          <w:color w:val="000000"/>
          <w:kern w:val="2"/>
          <w:sz w:val="20"/>
          <w:szCs w:val="20"/>
          <w14:ligatures w14:val="standardContextual"/>
        </w:rPr>
        <w:t xml:space="preserve">. For each excursion direction under each trial, EMG envelopes were time-interpolated to 200 time points </w:t>
      </w:r>
      <w:r w:rsidRPr="008B18FC">
        <w:rPr>
          <w:rFonts w:eastAsiaTheme="minorHAnsi"/>
          <w:color w:val="000000"/>
          <w:kern w:val="2"/>
          <w:sz w:val="20"/>
          <w:szCs w:val="20"/>
          <w:vertAlign w:val="superscript"/>
          <w14:ligatures w14:val="standardContextual"/>
        </w:rPr>
        <w:t>10</w:t>
      </w:r>
      <w:r w:rsidRPr="008B18FC">
        <w:rPr>
          <w:rFonts w:eastAsiaTheme="minorHAnsi"/>
          <w:color w:val="000000"/>
          <w:kern w:val="2"/>
          <w:sz w:val="20"/>
          <w:szCs w:val="20"/>
          <w:vertAlign w:val="superscript"/>
          <w14:ligatures w14:val="standardContextual"/>
        </w:rPr>
        <w:t xml:space="preserve"> </w:t>
      </w:r>
      <w:r w:rsidRPr="008B18FC">
        <w:rPr>
          <w:rFonts w:eastAsiaTheme="minorHAnsi"/>
          <w:color w:val="000000"/>
          <w:kern w:val="2"/>
          <w:sz w:val="20"/>
          <w:szCs w:val="20"/>
          <w14:ligatures w14:val="standardContextual"/>
        </w:rPr>
        <w:t>and concatenated into an “all-task” EMG matrix for input into t</w:t>
      </w:r>
      <w:r w:rsidRPr="008B18FC">
        <w:rPr>
          <w:rFonts w:eastAsiaTheme="minorHAnsi"/>
          <w:color w:val="000000"/>
          <w:kern w:val="2"/>
          <w:sz w:val="20"/>
          <w:szCs w:val="20"/>
          <w14:ligatures w14:val="standardContextual"/>
        </w:rPr>
        <w:t>he nonnegative matrix factorization (NMF) algorithm</w:t>
      </w:r>
      <w:r w:rsidRPr="008B18FC">
        <w:rPr>
          <w:rFonts w:eastAsiaTheme="minorHAnsi"/>
          <w:color w:val="000000"/>
          <w:kern w:val="2"/>
          <w:sz w:val="20"/>
          <w:szCs w:val="20"/>
          <w14:ligatures w14:val="standardContextual"/>
        </w:rPr>
        <w:t>. NMF</w:t>
      </w:r>
      <w:r w:rsidRPr="008B18FC">
        <w:rPr>
          <w:rFonts w:eastAsiaTheme="minorHAnsi"/>
          <w:color w:val="000000"/>
          <w:kern w:val="2"/>
          <w:sz w:val="20"/>
          <w:szCs w:val="20"/>
          <w14:ligatures w14:val="standardContextual"/>
        </w:rPr>
        <w:t xml:space="preserve"> is a dimensionality reduction algorithm frequently used for muscle synergy analysis</w:t>
      </w:r>
      <w:r w:rsidRPr="008B18FC">
        <w:rPr>
          <w:rFonts w:eastAsiaTheme="minorHAnsi"/>
          <w:color w:val="000000"/>
          <w:kern w:val="2"/>
          <w:sz w:val="20"/>
          <w:szCs w:val="20"/>
          <w:vertAlign w:val="superscript"/>
          <w14:ligatures w14:val="standardContextual"/>
        </w:rPr>
        <w:t>11-14</w:t>
      </w:r>
      <w:r w:rsidRPr="008B18FC">
        <w:rPr>
          <w:rFonts w:eastAsiaTheme="minorHAnsi"/>
          <w:color w:val="000000"/>
          <w:kern w:val="2"/>
          <w:sz w:val="20"/>
          <w:szCs w:val="20"/>
          <w14:ligatures w14:val="standardContextual"/>
        </w:rPr>
        <w:t xml:space="preserve">. The </w:t>
      </w:r>
      <w:r w:rsidRPr="008B18FC">
        <w:rPr>
          <w:rFonts w:eastAsiaTheme="minorHAnsi"/>
          <w:color w:val="000000"/>
          <w:kern w:val="2"/>
          <w:sz w:val="20"/>
          <w:szCs w:val="20"/>
          <w14:ligatures w14:val="standardContextual"/>
        </w:rPr>
        <w:t>algorithm assumes that a muscle activation pattern M can be decomposed into a linear combination of basis synergy vectors W and their corresponding activation coefficients</w:t>
      </w:r>
      <w:r w:rsidRPr="008B18FC">
        <w:rPr>
          <w:rFonts w:eastAsiaTheme="minorHAnsi"/>
          <w:color w:val="000000"/>
          <w:kern w:val="2"/>
          <w:sz w:val="20"/>
          <w:szCs w:val="20"/>
          <w14:ligatures w14:val="standardContextual"/>
        </w:rPr>
        <w:t xml:space="preserve"> C</w:t>
      </w:r>
      <w:r w:rsidRPr="008B18FC">
        <w:rPr>
          <w:rFonts w:eastAsiaTheme="minorHAnsi"/>
          <w:color w:val="000000"/>
          <w:kern w:val="2"/>
          <w:sz w:val="20"/>
          <w:szCs w:val="20"/>
          <w14:ligatures w14:val="standardContextual"/>
        </w:rPr>
        <w:t>, as shown</w:t>
      </w:r>
      <w:r w:rsidR="007B5C95">
        <w:rPr>
          <w:rFonts w:eastAsiaTheme="minorHAnsi"/>
          <w:color w:val="000000"/>
          <w:kern w:val="2"/>
          <w:sz w:val="20"/>
          <w:szCs w:val="20"/>
          <w14:ligatures w14:val="standardContextual"/>
        </w:rPr>
        <w:t>:</w:t>
      </w:r>
    </w:p>
    <w:p w14:paraId="38412581" w14:textId="6C1303A3" w:rsidR="008B18FC" w:rsidRPr="008B18FC" w:rsidRDefault="008B18FC" w:rsidP="007B5C95">
      <w:pPr>
        <w:spacing w:before="120" w:after="120" w:line="240" w:lineRule="auto"/>
        <w:jc w:val="center"/>
        <w:rPr>
          <w:rFonts w:ascii="Times New Roman" w:hAnsi="Times New Roman" w:cs="Times New Roman"/>
          <w:color w:val="000000"/>
          <w:sz w:val="20"/>
          <w:szCs w:val="20"/>
        </w:rPr>
      </w:pPr>
      <w:r w:rsidRPr="008B18FC">
        <w:rPr>
          <w:rFonts w:ascii="Times New Roman" w:hAnsi="Times New Roman" w:cs="Times New Roman"/>
          <w:color w:val="000000"/>
          <w:sz w:val="20"/>
          <w:szCs w:val="20"/>
        </w:rPr>
        <w:t xml:space="preserve">M = c1W1 + c2W2 + c3W3 …. </w:t>
      </w:r>
      <w:proofErr w:type="spellStart"/>
      <w:r w:rsidRPr="008B18FC">
        <w:rPr>
          <w:rFonts w:ascii="Times New Roman" w:hAnsi="Times New Roman" w:cs="Times New Roman"/>
          <w:color w:val="000000"/>
          <w:sz w:val="20"/>
          <w:szCs w:val="20"/>
        </w:rPr>
        <w:t>cnWn</w:t>
      </w:r>
      <w:proofErr w:type="spellEnd"/>
      <w:r w:rsidRPr="008B18FC">
        <w:rPr>
          <w:rFonts w:ascii="Times New Roman" w:hAnsi="Times New Roman" w:cs="Times New Roman"/>
          <w:color w:val="000000"/>
          <w:sz w:val="20"/>
          <w:szCs w:val="20"/>
        </w:rPr>
        <w:t xml:space="preserve"> (1)</w:t>
      </w:r>
      <w:r w:rsidR="007B5C95">
        <w:rPr>
          <w:rFonts w:ascii="Times New Roman" w:hAnsi="Times New Roman" w:cs="Times New Roman"/>
          <w:color w:val="000000"/>
          <w:sz w:val="20"/>
          <w:szCs w:val="20"/>
        </w:rPr>
        <w:t xml:space="preserve"> </w:t>
      </w:r>
      <w:r w:rsidR="007B5C95" w:rsidRPr="008B18FC">
        <w:rPr>
          <w:rFonts w:ascii="Times New Roman" w:hAnsi="Times New Roman" w:cs="Times New Roman"/>
          <w:color w:val="000000"/>
          <w:sz w:val="20"/>
          <w:szCs w:val="20"/>
          <w:vertAlign w:val="superscript"/>
        </w:rPr>
        <w:t>11</w:t>
      </w:r>
    </w:p>
    <w:p w14:paraId="6C0555C9" w14:textId="15303067" w:rsidR="007B5C95" w:rsidRDefault="008B18FC" w:rsidP="007B5C95">
      <w:pPr>
        <w:spacing w:line="240" w:lineRule="auto"/>
        <w:jc w:val="both"/>
        <w:rPr>
          <w:rFonts w:ascii="Times New Roman" w:hAnsi="Times New Roman" w:cs="Times New Roman"/>
          <w:color w:val="000000"/>
          <w:sz w:val="20"/>
          <w:szCs w:val="20"/>
        </w:rPr>
      </w:pPr>
      <w:r w:rsidRPr="008B18FC">
        <w:rPr>
          <w:rFonts w:ascii="Times New Roman" w:hAnsi="Times New Roman" w:cs="Times New Roman"/>
          <w:color w:val="000000"/>
          <w:sz w:val="20"/>
          <w:szCs w:val="20"/>
        </w:rPr>
        <w:t xml:space="preserve">Where the nth synergy has a fixed muscle composition </w:t>
      </w:r>
      <w:proofErr w:type="spellStart"/>
      <w:r w:rsidRPr="008B18FC">
        <w:rPr>
          <w:rFonts w:ascii="Times New Roman" w:hAnsi="Times New Roman" w:cs="Times New Roman"/>
          <w:color w:val="000000"/>
          <w:sz w:val="20"/>
          <w:szCs w:val="20"/>
        </w:rPr>
        <w:t>Wn</w:t>
      </w:r>
      <w:proofErr w:type="spellEnd"/>
      <w:r w:rsidRPr="008B18FC">
        <w:rPr>
          <w:rFonts w:ascii="Times New Roman" w:hAnsi="Times New Roman" w:cs="Times New Roman"/>
          <w:color w:val="000000"/>
          <w:sz w:val="20"/>
          <w:szCs w:val="20"/>
        </w:rPr>
        <w:t xml:space="preserve"> and can be described by the synergy activation Cn under a given </w:t>
      </w:r>
      <w:r w:rsidR="007B5C95" w:rsidRPr="008B18FC">
        <w:rPr>
          <w:rFonts w:ascii="Times New Roman" w:hAnsi="Times New Roman" w:cs="Times New Roman"/>
          <w:color w:val="000000"/>
          <w:sz w:val="20"/>
          <w:szCs w:val="20"/>
        </w:rPr>
        <w:t>time</w:t>
      </w:r>
      <w:r w:rsidRPr="008B18FC">
        <w:rPr>
          <w:rFonts w:ascii="Times New Roman" w:hAnsi="Times New Roman" w:cs="Times New Roman"/>
          <w:color w:val="000000"/>
          <w:sz w:val="20"/>
          <w:szCs w:val="20"/>
        </w:rPr>
        <w:t>.</w:t>
      </w:r>
      <w:r w:rsidR="007B5C95" w:rsidRPr="007B5C95">
        <w:rPr>
          <w:rFonts w:ascii="Times New Roman" w:hAnsi="Times New Roman" w:cs="Times New Roman"/>
          <w:color w:val="000000"/>
          <w:sz w:val="20"/>
          <w:szCs w:val="20"/>
        </w:rPr>
        <w:t xml:space="preserve"> </w:t>
      </w:r>
      <w:r w:rsidR="007B5C95" w:rsidRPr="007B5C95">
        <w:rPr>
          <w:rFonts w:ascii="Times New Roman" w:hAnsi="Times New Roman" w:cs="Times New Roman"/>
          <w:color w:val="000000"/>
          <w:sz w:val="20"/>
          <w:szCs w:val="20"/>
        </w:rPr>
        <w:t>Variance accounted for (VAF) between the reconstructed matrix and the input matrix determined the number of synergies that could reasonably represent each dataset (overall VAF &gt; 90, muscle VAF &gt; 75)</w:t>
      </w:r>
      <w:r w:rsidR="007B5C95" w:rsidRPr="007B5C95">
        <w:rPr>
          <w:rFonts w:ascii="Times New Roman" w:hAnsi="Times New Roman" w:cs="Times New Roman"/>
          <w:color w:val="000000"/>
          <w:sz w:val="20"/>
          <w:szCs w:val="20"/>
          <w:vertAlign w:val="superscript"/>
        </w:rPr>
        <w:t>12</w:t>
      </w:r>
      <w:r w:rsidR="007B5C95" w:rsidRPr="007B5C95">
        <w:rPr>
          <w:rFonts w:ascii="Times New Roman" w:hAnsi="Times New Roman" w:cs="Times New Roman"/>
          <w:color w:val="000000"/>
          <w:sz w:val="20"/>
          <w:szCs w:val="20"/>
        </w:rPr>
        <w:t xml:space="preserve">. To determine similarity of muscle synergies across directions and conditions, extracted synergies were compared using correlation coefficients, in which a pair of synergies were considered similar if r &gt; 0.623 </w:t>
      </w:r>
      <w:r w:rsidR="007B5C95" w:rsidRPr="007B5C95">
        <w:rPr>
          <w:rFonts w:ascii="Times New Roman" w:hAnsi="Times New Roman" w:cs="Times New Roman"/>
          <w:color w:val="000000"/>
          <w:sz w:val="20"/>
          <w:szCs w:val="20"/>
          <w:vertAlign w:val="superscript"/>
        </w:rPr>
        <w:t>11-13</w:t>
      </w:r>
      <w:r w:rsidR="007B5C95" w:rsidRPr="007B5C95">
        <w:rPr>
          <w:rFonts w:ascii="Times New Roman" w:hAnsi="Times New Roman" w:cs="Times New Roman"/>
          <w:color w:val="000000"/>
          <w:sz w:val="20"/>
          <w:szCs w:val="20"/>
        </w:rPr>
        <w:t>. </w:t>
      </w:r>
    </w:p>
    <w:p w14:paraId="0A4D67D7" w14:textId="26DBD6D3" w:rsidR="007B5C95" w:rsidRDefault="007B5C95" w:rsidP="007B5C95">
      <w:pPr>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Results: </w:t>
      </w:r>
      <w:r w:rsidRPr="007B5C95">
        <w:rPr>
          <w:rFonts w:ascii="Times New Roman" w:hAnsi="Times New Roman" w:cs="Times New Roman"/>
          <w:color w:val="000000"/>
          <w:sz w:val="20"/>
          <w:szCs w:val="20"/>
        </w:rPr>
        <w:t xml:space="preserve">Results from the NMF reconstruction identified nine synergies (VAF = 93.3) responsible for movements in all directions under the </w:t>
      </w:r>
      <w:proofErr w:type="spellStart"/>
      <w:r w:rsidRPr="007B5C95">
        <w:rPr>
          <w:rFonts w:ascii="Times New Roman" w:hAnsi="Times New Roman" w:cs="Times New Roman"/>
          <w:color w:val="000000"/>
          <w:sz w:val="20"/>
          <w:szCs w:val="20"/>
        </w:rPr>
        <w:t>tSCS</w:t>
      </w:r>
      <w:proofErr w:type="spellEnd"/>
      <w:r w:rsidRPr="007B5C95">
        <w:rPr>
          <w:rFonts w:ascii="Times New Roman" w:hAnsi="Times New Roman" w:cs="Times New Roman"/>
          <w:color w:val="000000"/>
          <w:sz w:val="20"/>
          <w:szCs w:val="20"/>
        </w:rPr>
        <w:t xml:space="preserve"> condition and seven synergies (VAF = 91.4) under the </w:t>
      </w:r>
      <w:proofErr w:type="spellStart"/>
      <w:r>
        <w:rPr>
          <w:rFonts w:ascii="Times New Roman" w:hAnsi="Times New Roman" w:cs="Times New Roman"/>
          <w:color w:val="000000"/>
          <w:sz w:val="20"/>
          <w:szCs w:val="20"/>
        </w:rPr>
        <w:t>n</w:t>
      </w:r>
      <w:r w:rsidRPr="007B5C95">
        <w:rPr>
          <w:rFonts w:ascii="Times New Roman" w:hAnsi="Times New Roman" w:cs="Times New Roman"/>
          <w:color w:val="000000"/>
          <w:sz w:val="20"/>
          <w:szCs w:val="20"/>
        </w:rPr>
        <w:t>tSCS</w:t>
      </w:r>
      <w:proofErr w:type="spellEnd"/>
      <w:r w:rsidRPr="007B5C95">
        <w:rPr>
          <w:rFonts w:ascii="Times New Roman" w:hAnsi="Times New Roman" w:cs="Times New Roman"/>
          <w:color w:val="000000"/>
          <w:sz w:val="20"/>
          <w:szCs w:val="20"/>
        </w:rPr>
        <w:t xml:space="preserve"> condition. Four synergies were found to be extremely similar (r &gt; 0.9)</w:t>
      </w:r>
      <w:r w:rsidRPr="007B5C95">
        <w:rPr>
          <w:rFonts w:ascii="Times New Roman" w:hAnsi="Times New Roman" w:cs="Times New Roman"/>
          <w:color w:val="000000"/>
          <w:sz w:val="20"/>
          <w:szCs w:val="20"/>
          <w:vertAlign w:val="superscript"/>
        </w:rPr>
        <w:t>11</w:t>
      </w:r>
      <w:r w:rsidRPr="007B5C95">
        <w:rPr>
          <w:rFonts w:ascii="Times New Roman" w:hAnsi="Times New Roman" w:cs="Times New Roman"/>
          <w:color w:val="000000"/>
          <w:sz w:val="20"/>
          <w:szCs w:val="20"/>
        </w:rPr>
        <w:t xml:space="preserve"> between the </w:t>
      </w:r>
      <w:proofErr w:type="spellStart"/>
      <w:r w:rsidRPr="007B5C95">
        <w:rPr>
          <w:rFonts w:ascii="Times New Roman" w:hAnsi="Times New Roman" w:cs="Times New Roman"/>
          <w:color w:val="000000"/>
          <w:sz w:val="20"/>
          <w:szCs w:val="20"/>
        </w:rPr>
        <w:t>tSCS</w:t>
      </w:r>
      <w:proofErr w:type="spellEnd"/>
      <w:r w:rsidRPr="007B5C95">
        <w:rPr>
          <w:rFonts w:ascii="Times New Roman" w:hAnsi="Times New Roman" w:cs="Times New Roman"/>
          <w:color w:val="000000"/>
          <w:sz w:val="20"/>
          <w:szCs w:val="20"/>
        </w:rPr>
        <w:t xml:space="preserve"> and the no </w:t>
      </w:r>
      <w:proofErr w:type="spellStart"/>
      <w:r w:rsidRPr="007B5C95">
        <w:rPr>
          <w:rFonts w:ascii="Times New Roman" w:hAnsi="Times New Roman" w:cs="Times New Roman"/>
          <w:color w:val="000000"/>
          <w:sz w:val="20"/>
          <w:szCs w:val="20"/>
        </w:rPr>
        <w:t>tSCS</w:t>
      </w:r>
      <w:proofErr w:type="spellEnd"/>
      <w:r w:rsidRPr="007B5C95">
        <w:rPr>
          <w:rFonts w:ascii="Times New Roman" w:hAnsi="Times New Roman" w:cs="Times New Roman"/>
          <w:color w:val="000000"/>
          <w:sz w:val="20"/>
          <w:szCs w:val="20"/>
        </w:rPr>
        <w:t xml:space="preserve"> reconstructions. When comparing synergy activation coefficients between the </w:t>
      </w:r>
      <w:proofErr w:type="spellStart"/>
      <w:r w:rsidRPr="007B5C95">
        <w:rPr>
          <w:rFonts w:ascii="Times New Roman" w:hAnsi="Times New Roman" w:cs="Times New Roman"/>
          <w:color w:val="000000"/>
          <w:sz w:val="20"/>
          <w:szCs w:val="20"/>
        </w:rPr>
        <w:t>ntSCS</w:t>
      </w:r>
      <w:proofErr w:type="spellEnd"/>
      <w:r w:rsidRPr="007B5C95">
        <w:rPr>
          <w:rFonts w:ascii="Times New Roman" w:hAnsi="Times New Roman" w:cs="Times New Roman"/>
          <w:color w:val="000000"/>
          <w:sz w:val="20"/>
          <w:szCs w:val="20"/>
        </w:rPr>
        <w:t xml:space="preserve"> and </w:t>
      </w:r>
      <w:proofErr w:type="spellStart"/>
      <w:r w:rsidRPr="007B5C95">
        <w:rPr>
          <w:rFonts w:ascii="Times New Roman" w:hAnsi="Times New Roman" w:cs="Times New Roman"/>
          <w:color w:val="000000"/>
          <w:sz w:val="20"/>
          <w:szCs w:val="20"/>
        </w:rPr>
        <w:t>tSCS</w:t>
      </w:r>
      <w:proofErr w:type="spellEnd"/>
      <w:r w:rsidRPr="007B5C95">
        <w:rPr>
          <w:rFonts w:ascii="Times New Roman" w:hAnsi="Times New Roman" w:cs="Times New Roman"/>
          <w:color w:val="000000"/>
          <w:sz w:val="20"/>
          <w:szCs w:val="20"/>
        </w:rPr>
        <w:t xml:space="preserve"> conditions, no significant similarities were found, regardless of similarity of muscle synergy vectors for those activations.</w:t>
      </w:r>
    </w:p>
    <w:p w14:paraId="0C65D230" w14:textId="5FC6F74B" w:rsidR="007B5C95" w:rsidRDefault="007B5C95" w:rsidP="007B5C95">
      <w:pPr>
        <w:spacing w:after="0" w:line="240" w:lineRule="auto"/>
        <w:jc w:val="both"/>
        <w:rPr>
          <w:rFonts w:ascii="Times New Roman" w:hAnsi="Times New Roman" w:cs="Times New Roman"/>
          <w:b/>
          <w:bCs/>
          <w:color w:val="000000"/>
          <w:sz w:val="20"/>
          <w:szCs w:val="20"/>
        </w:rPr>
      </w:pPr>
    </w:p>
    <w:p w14:paraId="3596C7E6" w14:textId="61F3FE8B" w:rsidR="007B5C95" w:rsidRPr="007B5C95" w:rsidRDefault="007B5C95" w:rsidP="007B5C95">
      <w:pPr>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Conclusions: </w:t>
      </w:r>
      <w:r w:rsidRPr="007B5C95">
        <w:rPr>
          <w:rFonts w:ascii="Times New Roman" w:hAnsi="Times New Roman" w:cs="Times New Roman"/>
          <w:color w:val="000000"/>
          <w:sz w:val="20"/>
          <w:szCs w:val="20"/>
        </w:rPr>
        <w:t xml:space="preserve">Balance training with the robotic STAND trainer and transcutaneous spinal cord stimulation may impact muscle synergy complexity. For an able-bodied subject, an increase in muscle synergies (+2) was found when training with </w:t>
      </w:r>
      <w:proofErr w:type="spellStart"/>
      <w:r w:rsidRPr="007B5C95">
        <w:rPr>
          <w:rFonts w:ascii="Times New Roman" w:hAnsi="Times New Roman" w:cs="Times New Roman"/>
          <w:color w:val="000000"/>
          <w:sz w:val="20"/>
          <w:szCs w:val="20"/>
        </w:rPr>
        <w:t>tSCS</w:t>
      </w:r>
      <w:proofErr w:type="spellEnd"/>
      <w:r w:rsidRPr="007B5C95">
        <w:rPr>
          <w:rFonts w:ascii="Times New Roman" w:hAnsi="Times New Roman" w:cs="Times New Roman"/>
          <w:color w:val="000000"/>
          <w:sz w:val="20"/>
          <w:szCs w:val="20"/>
        </w:rPr>
        <w:t xml:space="preserve"> assistance.</w:t>
      </w:r>
      <w:r w:rsidRPr="007B5C95">
        <w:rPr>
          <w:rFonts w:ascii="Times New Roman" w:hAnsi="Times New Roman" w:cs="Times New Roman"/>
          <w:color w:val="000000"/>
          <w:sz w:val="20"/>
          <w:szCs w:val="20"/>
        </w:rPr>
        <w:t xml:space="preserve"> This analysis pipeline outlines a</w:t>
      </w:r>
      <w:r w:rsidRPr="007B5C95">
        <w:rPr>
          <w:rFonts w:ascii="Times New Roman" w:hAnsi="Times New Roman" w:cs="Times New Roman"/>
          <w:color w:val="000000"/>
          <w:sz w:val="20"/>
          <w:szCs w:val="20"/>
        </w:rPr>
        <w:t xml:space="preserve"> potential rehabilitative protocol and functional outcome </w:t>
      </w:r>
      <w:r w:rsidRPr="007B5C95">
        <w:rPr>
          <w:rFonts w:ascii="Times New Roman" w:hAnsi="Times New Roman" w:cs="Times New Roman"/>
          <w:color w:val="000000"/>
          <w:sz w:val="20"/>
          <w:szCs w:val="20"/>
        </w:rPr>
        <w:t>measure</w:t>
      </w:r>
      <w:r w:rsidRPr="007B5C95">
        <w:rPr>
          <w:rFonts w:ascii="Times New Roman" w:hAnsi="Times New Roman" w:cs="Times New Roman"/>
          <w:color w:val="000000"/>
          <w:sz w:val="20"/>
          <w:szCs w:val="20"/>
        </w:rPr>
        <w:t xml:space="preserve"> for introducing balance restoration in spinal cord injury patients</w:t>
      </w:r>
      <w:r w:rsidRPr="007B5C95">
        <w:rPr>
          <w:rFonts w:ascii="Times New Roman" w:hAnsi="Times New Roman" w:cs="Times New Roman"/>
          <w:color w:val="000000"/>
          <w:sz w:val="20"/>
          <w:szCs w:val="20"/>
        </w:rPr>
        <w:t xml:space="preserve">. </w:t>
      </w:r>
    </w:p>
    <w:p w14:paraId="6355AE0A" w14:textId="1D2F9C13" w:rsidR="007B5C95" w:rsidRDefault="007B5C95" w:rsidP="007B5C95">
      <w:pPr>
        <w:spacing w:after="0" w:line="240" w:lineRule="auto"/>
        <w:jc w:val="both"/>
        <w:rPr>
          <w:rFonts w:ascii="Times New Roman" w:hAnsi="Times New Roman" w:cs="Times New Roman"/>
          <w:color w:val="000000"/>
          <w:sz w:val="20"/>
          <w:szCs w:val="20"/>
        </w:rPr>
      </w:pPr>
    </w:p>
    <w:p w14:paraId="4B637BD9" w14:textId="4E1FF22A" w:rsidR="007B5C95" w:rsidRDefault="007B5C95" w:rsidP="007B5C95">
      <w:pPr>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Acknowledgements: </w:t>
      </w:r>
      <w:r>
        <w:rPr>
          <w:rFonts w:ascii="Times New Roman" w:hAnsi="Times New Roman" w:cs="Times New Roman"/>
          <w:color w:val="000000"/>
          <w:sz w:val="20"/>
          <w:szCs w:val="20"/>
        </w:rPr>
        <w:t xml:space="preserve">I would like to thank Dr. Sunil Agrawal and all members of the ROAR lab for their guidance. </w:t>
      </w:r>
    </w:p>
    <w:p w14:paraId="24E88723" w14:textId="7C7F398F" w:rsidR="007B5C95" w:rsidRDefault="007B5C95" w:rsidP="007B5C95">
      <w:pPr>
        <w:spacing w:after="0" w:line="240" w:lineRule="auto"/>
        <w:jc w:val="both"/>
        <w:rPr>
          <w:rFonts w:ascii="Times New Roman" w:hAnsi="Times New Roman" w:cs="Times New Roman"/>
          <w:color w:val="000000"/>
          <w:sz w:val="20"/>
          <w:szCs w:val="20"/>
        </w:rPr>
      </w:pPr>
    </w:p>
    <w:p w14:paraId="7D850725" w14:textId="37D01A76" w:rsidR="007B5C95" w:rsidRPr="007B5C95" w:rsidRDefault="007B5C95" w:rsidP="007B5C95">
      <w:pPr>
        <w:spacing w:after="0" w:line="240" w:lineRule="auto"/>
        <w:jc w:val="both"/>
        <w:rPr>
          <w:rFonts w:ascii="Times New Roman" w:hAnsi="Times New Roman" w:cs="Times New Roman"/>
          <w:b/>
          <w:bCs/>
          <w:color w:val="000000"/>
          <w:sz w:val="20"/>
          <w:szCs w:val="20"/>
        </w:rPr>
      </w:pPr>
      <w:r w:rsidRPr="007B5C95">
        <w:rPr>
          <w:rFonts w:ascii="Times New Roman" w:hAnsi="Times New Roman" w:cs="Times New Roman"/>
          <w:b/>
          <w:bCs/>
          <w:color w:val="000000"/>
          <w:sz w:val="20"/>
          <w:szCs w:val="20"/>
        </w:rPr>
        <w:drawing>
          <wp:anchor distT="0" distB="0" distL="114300" distR="114300" simplePos="0" relativeHeight="251658240" behindDoc="0" locked="0" layoutInCell="1" allowOverlap="1" wp14:anchorId="387F93C8" wp14:editId="5FB8FF64">
            <wp:simplePos x="0" y="0"/>
            <wp:positionH relativeFrom="column">
              <wp:posOffset>18415</wp:posOffset>
            </wp:positionH>
            <wp:positionV relativeFrom="paragraph">
              <wp:posOffset>152400</wp:posOffset>
            </wp:positionV>
            <wp:extent cx="637540" cy="644525"/>
            <wp:effectExtent l="0" t="0" r="0" b="3175"/>
            <wp:wrapSquare wrapText="bothSides"/>
            <wp:docPr id="93" name="Picture 92" descr="A qr code with black squares&#10;&#10;Description automatically generated">
              <a:extLst xmlns:a="http://schemas.openxmlformats.org/drawingml/2006/main">
                <a:ext uri="{FF2B5EF4-FFF2-40B4-BE49-F238E27FC236}">
                  <a16:creationId xmlns:a16="http://schemas.microsoft.com/office/drawing/2014/main" id="{8CA9304B-9296-96CE-4CA1-D91C69EB32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2" descr="A qr code with black squares&#10;&#10;Description automatically generated">
                      <a:extLst>
                        <a:ext uri="{FF2B5EF4-FFF2-40B4-BE49-F238E27FC236}">
                          <a16:creationId xmlns:a16="http://schemas.microsoft.com/office/drawing/2014/main" id="{8CA9304B-9296-96CE-4CA1-D91C69EB320F}"/>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540" cy="6445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sz w:val="20"/>
          <w:szCs w:val="20"/>
        </w:rPr>
        <w:t xml:space="preserve">References: </w:t>
      </w:r>
    </w:p>
    <w:sectPr w:rsidR="007B5C95" w:rsidRPr="007B5C95" w:rsidSect="008B18F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6720"/>
    <w:multiLevelType w:val="multilevel"/>
    <w:tmpl w:val="2A54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D3405"/>
    <w:multiLevelType w:val="multilevel"/>
    <w:tmpl w:val="DE72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259024">
    <w:abstractNumId w:val="1"/>
  </w:num>
  <w:num w:numId="2" w16cid:durableId="128681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FC"/>
    <w:rsid w:val="000860F0"/>
    <w:rsid w:val="001C6D47"/>
    <w:rsid w:val="006A29A1"/>
    <w:rsid w:val="007B5C95"/>
    <w:rsid w:val="008B18FC"/>
    <w:rsid w:val="00BD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9860"/>
  <w15:chartTrackingRefBased/>
  <w15:docId w15:val="{D9CD9CED-E444-49CC-A6BA-D2C1C130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8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B1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7661">
      <w:bodyDiv w:val="1"/>
      <w:marLeft w:val="0"/>
      <w:marRight w:val="0"/>
      <w:marTop w:val="0"/>
      <w:marBottom w:val="0"/>
      <w:divBdr>
        <w:top w:val="none" w:sz="0" w:space="0" w:color="auto"/>
        <w:left w:val="none" w:sz="0" w:space="0" w:color="auto"/>
        <w:bottom w:val="none" w:sz="0" w:space="0" w:color="auto"/>
        <w:right w:val="none" w:sz="0" w:space="0" w:color="auto"/>
      </w:divBdr>
    </w:div>
    <w:div w:id="522285299">
      <w:bodyDiv w:val="1"/>
      <w:marLeft w:val="0"/>
      <w:marRight w:val="0"/>
      <w:marTop w:val="0"/>
      <w:marBottom w:val="0"/>
      <w:divBdr>
        <w:top w:val="none" w:sz="0" w:space="0" w:color="auto"/>
        <w:left w:val="none" w:sz="0" w:space="0" w:color="auto"/>
        <w:bottom w:val="none" w:sz="0" w:space="0" w:color="auto"/>
        <w:right w:val="none" w:sz="0" w:space="0" w:color="auto"/>
      </w:divBdr>
    </w:div>
    <w:div w:id="1414474372">
      <w:bodyDiv w:val="1"/>
      <w:marLeft w:val="0"/>
      <w:marRight w:val="0"/>
      <w:marTop w:val="0"/>
      <w:marBottom w:val="0"/>
      <w:divBdr>
        <w:top w:val="none" w:sz="0" w:space="0" w:color="auto"/>
        <w:left w:val="none" w:sz="0" w:space="0" w:color="auto"/>
        <w:bottom w:val="none" w:sz="0" w:space="0" w:color="auto"/>
        <w:right w:val="none" w:sz="0" w:space="0" w:color="auto"/>
      </w:divBdr>
    </w:div>
    <w:div w:id="1580483697">
      <w:bodyDiv w:val="1"/>
      <w:marLeft w:val="0"/>
      <w:marRight w:val="0"/>
      <w:marTop w:val="0"/>
      <w:marBottom w:val="0"/>
      <w:divBdr>
        <w:top w:val="none" w:sz="0" w:space="0" w:color="auto"/>
        <w:left w:val="none" w:sz="0" w:space="0" w:color="auto"/>
        <w:bottom w:val="none" w:sz="0" w:space="0" w:color="auto"/>
        <w:right w:val="none" w:sz="0" w:space="0" w:color="auto"/>
      </w:divBdr>
    </w:div>
    <w:div w:id="15895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Kimiavi, Tara H</dc:creator>
  <cp:keywords/>
  <dc:description/>
  <cp:lastModifiedBy>Kimiavi, Tara H</cp:lastModifiedBy>
  <cp:revision>1</cp:revision>
  <dcterms:created xsi:type="dcterms:W3CDTF">2023-07-28T03:34:00Z</dcterms:created>
  <dcterms:modified xsi:type="dcterms:W3CDTF">2023-07-28T03:52:00Z</dcterms:modified>
</cp:coreProperties>
</file>