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3F3F" w14:textId="10EDCC7C" w:rsidR="00FF1C1A" w:rsidRDefault="007E6247" w:rsidP="00FF1C1A">
      <w:pPr>
        <w:spacing w:after="80" w:line="270" w:lineRule="auto"/>
        <w:ind w:left="276" w:right="1" w:hanging="275"/>
        <w:jc w:val="center"/>
        <w:rPr>
          <w:b/>
        </w:rPr>
      </w:pPr>
      <w:r>
        <w:t>The r</w:t>
      </w:r>
      <w:r w:rsidR="00FF1C1A">
        <w:t xml:space="preserve">egulatory effect of GAG-mimetics on activated human osteoarthritic chondrocytes </w:t>
      </w:r>
    </w:p>
    <w:p w14:paraId="17AC087D" w14:textId="77777777" w:rsidR="00FF1C1A" w:rsidRPr="00F3024D" w:rsidRDefault="00FF1C1A" w:rsidP="00FF1C1A">
      <w:pPr>
        <w:spacing w:after="80" w:line="270" w:lineRule="auto"/>
        <w:ind w:left="276" w:right="1" w:hanging="275"/>
        <w:jc w:val="center"/>
      </w:pPr>
      <w:r w:rsidRPr="00F3024D">
        <w:rPr>
          <w:u w:val="single"/>
        </w:rPr>
        <w:t>Nigel Cole</w:t>
      </w:r>
      <w:r w:rsidRPr="00F3024D">
        <w:rPr>
          <w:u w:val="single"/>
          <w:vertAlign w:val="superscript"/>
        </w:rPr>
        <w:t>1</w:t>
      </w:r>
      <w:r w:rsidRPr="00F3024D">
        <w:t>, Omar Alheib</w:t>
      </w:r>
      <w:r w:rsidRPr="00F3024D">
        <w:rPr>
          <w:vertAlign w:val="superscript"/>
        </w:rPr>
        <w:t xml:space="preserve">2 </w:t>
      </w:r>
      <w:r w:rsidRPr="00F3024D">
        <w:t>, Treena Livingston Arinzeh</w:t>
      </w:r>
      <w:r w:rsidRPr="00F3024D">
        <w:rPr>
          <w:vertAlign w:val="superscript"/>
        </w:rPr>
        <w:t>2</w:t>
      </w:r>
      <w:r w:rsidRPr="00F3024D">
        <w:t xml:space="preserve">. </w:t>
      </w:r>
    </w:p>
    <w:p w14:paraId="3DCE6A84" w14:textId="5B7E4474" w:rsidR="00FF1C1A" w:rsidRDefault="00FF1C1A" w:rsidP="00FF1C1A">
      <w:pPr>
        <w:spacing w:after="80" w:line="270" w:lineRule="auto"/>
        <w:ind w:right="1"/>
        <w:jc w:val="center"/>
        <w:rPr>
          <w:sz w:val="16"/>
          <w:szCs w:val="16"/>
        </w:rPr>
      </w:pPr>
      <w:r>
        <w:rPr>
          <w:sz w:val="16"/>
          <w:szCs w:val="16"/>
        </w:rPr>
        <w:t>Southern University A&amp;M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, Department of Biomedical Engineering, Columbia University</w:t>
      </w:r>
      <w:r>
        <w:rPr>
          <w:sz w:val="16"/>
          <w:szCs w:val="16"/>
          <w:vertAlign w:val="superscript"/>
        </w:rPr>
        <w:t>2</w:t>
      </w:r>
    </w:p>
    <w:p w14:paraId="32D93241" w14:textId="77777777" w:rsidR="00FF1C1A" w:rsidRPr="00A34035" w:rsidRDefault="00FF1C1A" w:rsidP="00A34035">
      <w:pPr>
        <w:ind w:left="0" w:firstLine="0"/>
        <w:rPr>
          <w:sz w:val="16"/>
          <w:szCs w:val="16"/>
        </w:rPr>
        <w:sectPr w:rsidR="00FF1C1A" w:rsidRPr="00A34035" w:rsidSect="001C682A">
          <w:pgSz w:w="12240" w:h="15840"/>
          <w:pgMar w:top="1129" w:right="1146" w:bottom="1440" w:left="1146" w:header="720" w:footer="720" w:gutter="0"/>
          <w:pgNumType w:start="1"/>
          <w:cols w:space="720"/>
        </w:sectPr>
      </w:pPr>
    </w:p>
    <w:p w14:paraId="5169BB75" w14:textId="340729C1" w:rsidR="00FF1C1A" w:rsidRDefault="00FF1C1A" w:rsidP="00FF1C1A">
      <w:pPr>
        <w:spacing w:after="0"/>
        <w:ind w:left="0" w:firstLine="0"/>
      </w:pPr>
      <w:r>
        <w:rPr>
          <w:b/>
        </w:rPr>
        <w:t xml:space="preserve">Introduction: </w:t>
      </w:r>
      <w:r>
        <w:t xml:space="preserve">Osteoarthritis </w:t>
      </w:r>
      <w:r w:rsidR="0046351A">
        <w:t>(</w:t>
      </w:r>
      <w:r>
        <w:t>OA</w:t>
      </w:r>
      <w:r w:rsidR="0046351A">
        <w:t>)</w:t>
      </w:r>
      <w:r>
        <w:t xml:space="preserve"> is a degenerative joint disease characterized by the progressive breakdown of articular cartilage. As OA progresses, it causes pain, stiffness, and loss of joint function, affecting 528 million people, or approximately 7% of the global population [1]. Due to the limited regenerative ability of articular cartilage, damage to this tissue can result in long-term functional impairment and pain. Current treatments for OA primarily focus on mitigating pain symptoms, and there is no drug capable of effectively halting the progression of the disease [2]. Tissue engineering is a biomedical engineering discipline that creates biological substitutes to replace diseased or damaged human tissue e.g. cartilage tissue. Glycosaminoglycans (GAGs) are the main component in the cartilage tissue, essential for providing </w:t>
      </w:r>
      <w:r w:rsidR="0046351A">
        <w:t>homeostasis in cartilage tissue</w:t>
      </w:r>
      <w:r>
        <w:t xml:space="preserve"> [3]. Herein, we used </w:t>
      </w:r>
      <w:r w:rsidR="0046351A">
        <w:t xml:space="preserve">a mimetic of </w:t>
      </w:r>
      <w:r>
        <w:t xml:space="preserve">sulfated </w:t>
      </w:r>
      <w:r w:rsidR="0046351A">
        <w:t>GAGs derived from cellulose to examine its effect on OA chondrocytes</w:t>
      </w:r>
      <w:r w:rsidR="00BA11A3">
        <w:t>.</w:t>
      </w:r>
      <w:r>
        <w:t xml:space="preserve"> Electrospinning technique was used to produce fibrous scaffolds </w:t>
      </w:r>
      <w:r w:rsidR="0046351A">
        <w:t>containing the GAG mimetic</w:t>
      </w:r>
      <w:r>
        <w:t xml:space="preserve">. The scaffolds were seeded with </w:t>
      </w:r>
      <w:r w:rsidR="0046351A">
        <w:t>OA</w:t>
      </w:r>
      <w:r>
        <w:t xml:space="preserve"> chondrocytes </w:t>
      </w:r>
      <w:r w:rsidR="0046351A">
        <w:t xml:space="preserve">and cultured in the presence of </w:t>
      </w:r>
      <w:r>
        <w:t xml:space="preserve"> pro</w:t>
      </w:r>
      <w:r w:rsidR="0046351A">
        <w:t>-</w:t>
      </w:r>
      <w:r>
        <w:t>inflammatory</w:t>
      </w:r>
      <w:r w:rsidR="0046351A">
        <w:t xml:space="preserve"> molecules.</w:t>
      </w:r>
      <w:r>
        <w:t xml:space="preserve"> </w:t>
      </w:r>
    </w:p>
    <w:p w14:paraId="60495B28" w14:textId="3A267F08" w:rsidR="00FF1C1A" w:rsidRDefault="00FF1C1A" w:rsidP="00FF1C1A">
      <w:pPr>
        <w:spacing w:after="0"/>
        <w:ind w:left="0" w:firstLine="0"/>
      </w:pPr>
      <w:r>
        <w:rPr>
          <w:b/>
        </w:rPr>
        <w:t xml:space="preserve">Methods: </w:t>
      </w:r>
      <w:r>
        <w:t>Scaffolds were prepared using previously described methods [4].  Briefly, scaffolds were fabricated using 24% (w/w) bovine gelatin (Sigma) in 63/37 acetic acid/water solutions and 5% (w/w) partially sulfated cellulose (</w:t>
      </w:r>
      <w:proofErr w:type="spellStart"/>
      <w:r>
        <w:t>pSC</w:t>
      </w:r>
      <w:proofErr w:type="spellEnd"/>
      <w:r>
        <w:t xml:space="preserve">, prepared as published), which is a glycosaminoglycan (GAG)-mimetic. The scaffolds were crosslinked using 200 mM 1-3 </w:t>
      </w:r>
      <w:proofErr w:type="spellStart"/>
      <w:r>
        <w:t>ethylcarbodiimide</w:t>
      </w:r>
      <w:proofErr w:type="spellEnd"/>
      <w:r>
        <w:t xml:space="preserve"> hydrochloride (EDC, Sigma) and 40 mM N-</w:t>
      </w:r>
      <w:proofErr w:type="spellStart"/>
      <w:r>
        <w:t>hydroxysuccinimide</w:t>
      </w:r>
      <w:proofErr w:type="spellEnd"/>
      <w:r>
        <w:t xml:space="preserve"> (NHS, Sigma) to enhance hydrolytic stability and retain fibrous structures in aqueous environments as previously established. Additional materials included ethanol (200 proof, Sigma), phosphate-buffered saline (PBS, Fisher Scientific), Dulbecco's Modified Eagle's Medium (DMEM, Fisher Scientific), fetal bovine serum (FBS, </w:t>
      </w:r>
      <w:proofErr w:type="spellStart"/>
      <w:r>
        <w:t>Hyclone</w:t>
      </w:r>
      <w:proofErr w:type="spellEnd"/>
      <w:r>
        <w:t>), antibiotic-antimycotic (Fisher Scientific), trypsin (Fisher Scientific), poly-L-lysine (Sigma), paraformaldehyde (Sigma), Triton X-100 (Sigma), bovine serum albumin (BSA, Fisher Scientific), DAPI (Fisher Scientific), Quant-</w:t>
      </w:r>
      <w:proofErr w:type="spellStart"/>
      <w:r>
        <w:t>iT</w:t>
      </w:r>
      <w:proofErr w:type="spellEnd"/>
      <w:r>
        <w:t xml:space="preserve"> </w:t>
      </w:r>
      <w:proofErr w:type="spellStart"/>
      <w:r>
        <w:t>PicoGreen</w:t>
      </w:r>
      <w:proofErr w:type="spellEnd"/>
      <w:r>
        <w:t xml:space="preserve"> dsDNA Assay Kit (Fisher Scientific), and papain (Sigma).. TGF-β</w:t>
      </w:r>
      <w:r w:rsidR="0046351A">
        <w:t>3</w:t>
      </w:r>
      <w:r>
        <w:t xml:space="preserve"> &amp; IL-1</w:t>
      </w:r>
      <w:r w:rsidR="0046351A" w:rsidRPr="0046351A">
        <w:rPr>
          <w:rFonts w:ascii="Symbol" w:hAnsi="Symbol"/>
        </w:rPr>
        <w:t>b</w:t>
      </w:r>
      <w:r>
        <w:t xml:space="preserve"> were added to </w:t>
      </w:r>
      <w:proofErr w:type="spellStart"/>
      <w:r w:rsidR="0046351A">
        <w:t>chondroinductive</w:t>
      </w:r>
      <w:proofErr w:type="spellEnd"/>
      <w:r w:rsidR="0046351A">
        <w:t xml:space="preserve"> media (</w:t>
      </w:r>
      <w:r>
        <w:t>CCM+</w:t>
      </w:r>
      <w:r w:rsidR="0046351A">
        <w:t>)</w:t>
      </w:r>
      <w:r>
        <w:t xml:space="preserve"> media. </w:t>
      </w:r>
      <w:r w:rsidR="0046351A">
        <w:t>The</w:t>
      </w:r>
      <w:r>
        <w:t xml:space="preserve"> live/dead cytotoxicity </w:t>
      </w:r>
      <w:r w:rsidR="0046351A">
        <w:t>staining</w:t>
      </w:r>
      <w:r>
        <w:t>, immunostaining</w:t>
      </w:r>
      <w:r w:rsidR="0046351A">
        <w:t xml:space="preserve"> for cartilage matrix molecules</w:t>
      </w:r>
      <w:r>
        <w:t xml:space="preserve">, dsDNA assay </w:t>
      </w:r>
      <w:r w:rsidR="0046351A">
        <w:t>for cell growth</w:t>
      </w:r>
      <w:r>
        <w:t xml:space="preserve"> (</w:t>
      </w:r>
      <w:proofErr w:type="spellStart"/>
      <w:r>
        <w:t>PicoGreen</w:t>
      </w:r>
      <w:proofErr w:type="spellEnd"/>
      <w:r>
        <w:t xml:space="preserve">), and MMP-13 </w:t>
      </w:r>
      <w:r w:rsidR="0046351A">
        <w:t>ELISA assay were performed. S</w:t>
      </w:r>
      <w:r>
        <w:t xml:space="preserve">tatistical significance was </w:t>
      </w:r>
      <w:r w:rsidR="0046351A">
        <w:t>determined using</w:t>
      </w:r>
      <w:r>
        <w:t xml:space="preserve"> two-way ANOVA and Tukey’s post-hoc tests.</w:t>
      </w:r>
    </w:p>
    <w:p w14:paraId="0A8AD58A" w14:textId="35632C72" w:rsidR="00BA11A3" w:rsidRPr="00BA11A3" w:rsidRDefault="00D4519F" w:rsidP="002978D8">
      <w:pPr>
        <w:spacing w:after="0"/>
        <w:ind w:left="0" w:firstLine="0"/>
        <w:rPr>
          <w:sz w:val="6"/>
          <w:szCs w:val="6"/>
        </w:rPr>
      </w:pPr>
      <w:r>
        <w:rPr>
          <w:b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61A5FC3" wp14:editId="0E706DA3">
            <wp:simplePos x="0" y="0"/>
            <wp:positionH relativeFrom="column">
              <wp:posOffset>1238250</wp:posOffset>
            </wp:positionH>
            <wp:positionV relativeFrom="paragraph">
              <wp:posOffset>1466215</wp:posOffset>
            </wp:positionV>
            <wp:extent cx="1786890" cy="1181100"/>
            <wp:effectExtent l="0" t="0" r="3810" b="0"/>
            <wp:wrapTopAndBottom/>
            <wp:docPr id="1079221004" name="Picture 7" descr="A close-up of several ce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21004" name="Picture 7" descr="A close-up of several cell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29"/>
                    <a:stretch/>
                  </pic:blipFill>
                  <pic:spPr bwMode="auto">
                    <a:xfrm>
                      <a:off x="0" y="0"/>
                      <a:ext cx="178689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6B879B8" wp14:editId="2E36B8E6">
            <wp:simplePos x="0" y="0"/>
            <wp:positionH relativeFrom="column">
              <wp:posOffset>-12700</wp:posOffset>
            </wp:positionH>
            <wp:positionV relativeFrom="paragraph">
              <wp:posOffset>1536065</wp:posOffset>
            </wp:positionV>
            <wp:extent cx="1184275" cy="1111250"/>
            <wp:effectExtent l="0" t="0" r="0" b="6350"/>
            <wp:wrapTopAndBottom/>
            <wp:docPr id="96287498" name="Picture 4" descr="A graph of cell divi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7498" name="Picture 4" descr="A graph of cell divis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1A3" w:rsidRPr="00BA11A3">
        <w:rPr>
          <w:b/>
          <w:bCs/>
        </w:rPr>
        <w:t>Results</w:t>
      </w:r>
      <w:r w:rsidR="00BA11A3">
        <w:rPr>
          <w:b/>
          <w:bCs/>
        </w:rPr>
        <w:t>:</w:t>
      </w:r>
      <w:r w:rsidR="00BA11A3" w:rsidRPr="00BA11A3">
        <w:t xml:space="preserve"> </w:t>
      </w:r>
      <w:r w:rsidR="00DF25CB">
        <w:t>C</w:t>
      </w:r>
      <w:r w:rsidR="00BA11A3" w:rsidRPr="00BA11A3">
        <w:t xml:space="preserve">ells </w:t>
      </w:r>
      <w:r w:rsidR="0046351A">
        <w:t>produced</w:t>
      </w:r>
      <w:r w:rsidR="00BA11A3" w:rsidRPr="00BA11A3">
        <w:t xml:space="preserve"> MMP-13, an enzyme typically associated with OA chondrocytes</w:t>
      </w:r>
      <w:r w:rsidR="0046351A">
        <w:t>, was produced on both scaffolds</w:t>
      </w:r>
      <w:r w:rsidR="00BA11A3" w:rsidRPr="00BA11A3">
        <w:t xml:space="preserve">. </w:t>
      </w:r>
      <w:r w:rsidR="0046351A">
        <w:t>Statistical differences were not detected between groups</w:t>
      </w:r>
      <w:r w:rsidR="00BA11A3">
        <w:t xml:space="preserve"> </w:t>
      </w:r>
      <w:r w:rsidR="00BA11A3" w:rsidRPr="00BA11A3">
        <w:rPr>
          <w:rFonts w:cstheme="minorBidi"/>
          <w:kern w:val="24"/>
        </w:rPr>
        <w:t>(Figure 1)</w:t>
      </w:r>
      <w:r w:rsidR="00BA11A3">
        <w:rPr>
          <w:rFonts w:cstheme="minorBidi"/>
          <w:kern w:val="24"/>
        </w:rPr>
        <w:t>.</w:t>
      </w:r>
      <w:r w:rsidR="0046351A">
        <w:rPr>
          <w:rFonts w:cstheme="minorBidi"/>
          <w:kern w:val="24"/>
        </w:rPr>
        <w:t xml:space="preserve"> Cell growth was determined over time for both scaffolds and cell viability was maintained over time. Cartilage matrix was produced that included both collagen types I and II and aggrecan where it appeared more intense staining was present for scaffolds containing </w:t>
      </w:r>
      <w:proofErr w:type="spellStart"/>
      <w:r w:rsidR="0046351A">
        <w:rPr>
          <w:rFonts w:cstheme="minorBidi"/>
          <w:kern w:val="24"/>
        </w:rPr>
        <w:t>pSC</w:t>
      </w:r>
      <w:proofErr w:type="spellEnd"/>
      <w:r w:rsidR="0046351A">
        <w:rPr>
          <w:rFonts w:cstheme="minorBidi"/>
          <w:kern w:val="24"/>
        </w:rPr>
        <w:t>, the GAG-</w:t>
      </w:r>
      <w:proofErr w:type="spellStart"/>
      <w:r w:rsidR="0046351A">
        <w:rPr>
          <w:rFonts w:cstheme="minorBidi"/>
          <w:kern w:val="24"/>
        </w:rPr>
        <w:t>imetic</w:t>
      </w:r>
      <w:proofErr w:type="spellEnd"/>
      <w:r w:rsidR="0046351A">
        <w:rPr>
          <w:rFonts w:cstheme="minorBidi"/>
          <w:kern w:val="24"/>
        </w:rPr>
        <w:t xml:space="preserve">. </w:t>
      </w:r>
    </w:p>
    <w:p w14:paraId="7CD8771F" w14:textId="505DB12F" w:rsidR="00692FE2" w:rsidRDefault="00692FE2" w:rsidP="00FF1C1A">
      <w:pPr>
        <w:spacing w:after="0"/>
        <w:ind w:left="-5" w:firstLine="0"/>
        <w:rPr>
          <w:b/>
        </w:rPr>
      </w:pPr>
    </w:p>
    <w:p w14:paraId="672392A4" w14:textId="371DA11E" w:rsidR="00FF1C1A" w:rsidRDefault="00A34035" w:rsidP="00FF1C1A">
      <w:pPr>
        <w:spacing w:after="0"/>
        <w:ind w:left="-5" w:firstLine="0"/>
      </w:pPr>
      <w:r>
        <w:rPr>
          <w:b/>
        </w:rPr>
        <w:t>Conclusion</w:t>
      </w:r>
      <w:r w:rsidR="00FF1C1A">
        <w:rPr>
          <w:b/>
        </w:rPr>
        <w:t xml:space="preserve">: </w:t>
      </w:r>
      <w:r w:rsidR="0046351A">
        <w:t>GAG-mimetic containing scaffolds</w:t>
      </w:r>
      <w:r w:rsidR="00E806A3" w:rsidRPr="00E806A3">
        <w:t xml:space="preserve"> demonstrated </w:t>
      </w:r>
      <w:r w:rsidR="0046351A">
        <w:t>OA</w:t>
      </w:r>
      <w:r w:rsidR="00E806A3" w:rsidRPr="00E806A3">
        <w:t xml:space="preserve"> </w:t>
      </w:r>
      <w:r w:rsidR="0046351A">
        <w:t>chondrocyte growth and viability</w:t>
      </w:r>
      <w:r w:rsidR="00E806A3" w:rsidRPr="00E806A3">
        <w:t xml:space="preserve"> even in the presence of </w:t>
      </w:r>
      <w:r w:rsidR="0046351A">
        <w:t>the proinflammatory</w:t>
      </w:r>
      <w:r w:rsidR="00E806A3" w:rsidRPr="00E806A3">
        <w:t xml:space="preserve"> cytokine IL-1β. OA chondrocytes were able to deposit major </w:t>
      </w:r>
      <w:r w:rsidR="0046351A">
        <w:t>cartilage matrix components, collagen types I and II and</w:t>
      </w:r>
      <w:r w:rsidR="00E806A3" w:rsidRPr="00E806A3">
        <w:t xml:space="preserve"> aggrecan</w:t>
      </w:r>
      <w:r w:rsidR="0046351A">
        <w:t xml:space="preserve"> with the appearance of greater matrix deposition on the GAG-mimetic containing scaffold</w:t>
      </w:r>
      <w:r w:rsidR="00E806A3" w:rsidRPr="00E806A3">
        <w:t xml:space="preserve">. </w:t>
      </w:r>
      <w:r w:rsidR="0046351A">
        <w:t>Cell</w:t>
      </w:r>
      <w:r w:rsidR="00E806A3" w:rsidRPr="00E806A3">
        <w:t xml:space="preserve"> produc</w:t>
      </w:r>
      <w:r w:rsidR="0046351A">
        <w:t xml:space="preserve">ed </w:t>
      </w:r>
      <w:r w:rsidR="00E806A3" w:rsidRPr="00E806A3">
        <w:t xml:space="preserve">MMP-13, an enzyme typically associated with </w:t>
      </w:r>
      <w:r w:rsidR="0046351A">
        <w:t xml:space="preserve">matrix degradation by </w:t>
      </w:r>
      <w:r w:rsidR="00E806A3" w:rsidRPr="00E806A3">
        <w:t>OA chondrocytes</w:t>
      </w:r>
      <w:r w:rsidR="0046351A">
        <w:t>. Future studies are needed to further understand the influence of GAG-mimetics on cartilage formation by OA chondrocytes.</w:t>
      </w:r>
      <w:r w:rsidR="00E806A3" w:rsidRPr="00E806A3">
        <w:t xml:space="preserve"> </w:t>
      </w:r>
    </w:p>
    <w:p w14:paraId="5ABD9CE1" w14:textId="77777777" w:rsidR="00FF1C1A" w:rsidRDefault="00FF1C1A" w:rsidP="00FF1C1A">
      <w:pPr>
        <w:spacing w:after="0"/>
        <w:ind w:left="-5" w:firstLine="0"/>
      </w:pPr>
      <w:r>
        <w:rPr>
          <w:b/>
        </w:rPr>
        <w:t xml:space="preserve">References: </w:t>
      </w:r>
    </w:p>
    <w:p w14:paraId="373854E2" w14:textId="77777777" w:rsidR="00FF1C1A" w:rsidRPr="00BA11A3" w:rsidRDefault="00FF1C1A" w:rsidP="00FF1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/>
        <w:rPr>
          <w:sz w:val="11"/>
          <w:szCs w:val="11"/>
        </w:rPr>
      </w:pPr>
      <w:r w:rsidRPr="00BA11A3">
        <w:rPr>
          <w:sz w:val="11"/>
          <w:szCs w:val="11"/>
        </w:rPr>
        <w:t xml:space="preserve">Leifer VP, Katz JN, Losina E. The burden of OA-health services and economics. Osteoarthritis Cartilage. 2022 Jan;30(1):10-16. </w:t>
      </w:r>
      <w:proofErr w:type="spellStart"/>
      <w:r w:rsidRPr="00BA11A3">
        <w:rPr>
          <w:sz w:val="11"/>
          <w:szCs w:val="11"/>
        </w:rPr>
        <w:t>doi</w:t>
      </w:r>
      <w:proofErr w:type="spellEnd"/>
      <w:r w:rsidRPr="00BA11A3">
        <w:rPr>
          <w:sz w:val="11"/>
          <w:szCs w:val="11"/>
        </w:rPr>
        <w:t xml:space="preserve">: 10.1016/j.joca.2021.05.007. </w:t>
      </w:r>
      <w:proofErr w:type="spellStart"/>
      <w:r w:rsidRPr="00BA11A3">
        <w:rPr>
          <w:sz w:val="11"/>
          <w:szCs w:val="11"/>
        </w:rPr>
        <w:t>Epub</w:t>
      </w:r>
      <w:proofErr w:type="spellEnd"/>
      <w:r w:rsidRPr="00BA11A3">
        <w:rPr>
          <w:sz w:val="11"/>
          <w:szCs w:val="11"/>
        </w:rPr>
        <w:t xml:space="preserve"> 2021 May 20. PMID: 34023527; PMCID: PMC8605034.</w:t>
      </w:r>
    </w:p>
    <w:p w14:paraId="071D2039" w14:textId="77777777" w:rsidR="00FF1C1A" w:rsidRPr="00BA11A3" w:rsidRDefault="00FF1C1A" w:rsidP="00FF1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/>
        <w:rPr>
          <w:sz w:val="11"/>
          <w:szCs w:val="11"/>
        </w:rPr>
      </w:pPr>
      <w:r w:rsidRPr="00BA11A3">
        <w:rPr>
          <w:sz w:val="11"/>
          <w:szCs w:val="11"/>
        </w:rPr>
        <w:t>Menezes R, Sherman L, Rameshwar P, Arinzeh TL. </w:t>
      </w:r>
      <w:r w:rsidRPr="00BA11A3">
        <w:rPr>
          <w:i/>
          <w:sz w:val="11"/>
          <w:szCs w:val="11"/>
        </w:rPr>
        <w:t>J Biomed Mater Res A</w:t>
      </w:r>
      <w:r w:rsidRPr="00BA11A3">
        <w:rPr>
          <w:sz w:val="11"/>
          <w:szCs w:val="11"/>
        </w:rPr>
        <w:t>. 2023;111(2):37496.</w:t>
      </w:r>
    </w:p>
    <w:p w14:paraId="0369CE14" w14:textId="77777777" w:rsidR="00FF1C1A" w:rsidRPr="00BA11A3" w:rsidRDefault="00FF1C1A" w:rsidP="00FF1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/>
        <w:rPr>
          <w:sz w:val="11"/>
          <w:szCs w:val="11"/>
        </w:rPr>
      </w:pPr>
      <w:proofErr w:type="spellStart"/>
      <w:r w:rsidRPr="00BA11A3">
        <w:rPr>
          <w:sz w:val="11"/>
          <w:szCs w:val="11"/>
        </w:rPr>
        <w:t>Grässel</w:t>
      </w:r>
      <w:proofErr w:type="spellEnd"/>
      <w:r w:rsidRPr="00BA11A3">
        <w:rPr>
          <w:sz w:val="11"/>
          <w:szCs w:val="11"/>
        </w:rPr>
        <w:t xml:space="preserve"> S, </w:t>
      </w:r>
      <w:proofErr w:type="spellStart"/>
      <w:r w:rsidRPr="00BA11A3">
        <w:rPr>
          <w:sz w:val="11"/>
          <w:szCs w:val="11"/>
        </w:rPr>
        <w:t>Muschter</w:t>
      </w:r>
      <w:proofErr w:type="spellEnd"/>
      <w:r w:rsidRPr="00BA11A3">
        <w:rPr>
          <w:sz w:val="11"/>
          <w:szCs w:val="11"/>
        </w:rPr>
        <w:t xml:space="preserve"> D. Recent advances in the treatment of osteoarthritis. F1000Res. 2020 May 4;9:F1000 Faculty Rev-325. </w:t>
      </w:r>
      <w:proofErr w:type="spellStart"/>
      <w:r w:rsidRPr="00BA11A3">
        <w:rPr>
          <w:sz w:val="11"/>
          <w:szCs w:val="11"/>
        </w:rPr>
        <w:t>doi</w:t>
      </w:r>
      <w:proofErr w:type="spellEnd"/>
      <w:r w:rsidRPr="00BA11A3">
        <w:rPr>
          <w:sz w:val="11"/>
          <w:szCs w:val="11"/>
        </w:rPr>
        <w:t>: 10.12688/f1000research.22115.1. PMID: 32419923; PMCID: PMC7199286.</w:t>
      </w:r>
    </w:p>
    <w:p w14:paraId="3FEAC449" w14:textId="77777777" w:rsidR="00FF1C1A" w:rsidRDefault="00FF1C1A" w:rsidP="00FF1C1A">
      <w:r>
        <w:rPr>
          <w:b/>
        </w:rPr>
        <w:t>Acknowledgements</w:t>
      </w:r>
    </w:p>
    <w:p w14:paraId="6A98F9A1" w14:textId="73D20A78" w:rsidR="00FF1C1A" w:rsidRPr="00E806A3" w:rsidRDefault="00A34035" w:rsidP="00E806A3">
      <w:pPr>
        <w:spacing w:after="0"/>
        <w:ind w:left="0"/>
        <w:rPr>
          <w:sz w:val="15"/>
          <w:szCs w:val="15"/>
        </w:rPr>
      </w:pPr>
      <w:r w:rsidRPr="00A34035">
        <w:rPr>
          <w:sz w:val="15"/>
          <w:szCs w:val="15"/>
        </w:rPr>
        <w:t>The author acknowledges</w:t>
      </w:r>
      <w:r w:rsidR="00FF1C1A" w:rsidRPr="00A34035">
        <w:rPr>
          <w:sz w:val="15"/>
          <w:szCs w:val="15"/>
        </w:rPr>
        <w:t xml:space="preserve"> the fellowship opportunity sponsored by the Columbia-Amazon</w:t>
      </w:r>
      <w:r w:rsidR="00FF1C1A" w:rsidRPr="00A34035">
        <w:rPr>
          <w:sz w:val="36"/>
          <w:szCs w:val="36"/>
        </w:rPr>
        <w:t xml:space="preserve"> </w:t>
      </w:r>
      <w:r w:rsidR="00FF1C1A" w:rsidRPr="00A34035">
        <w:rPr>
          <w:sz w:val="15"/>
          <w:szCs w:val="15"/>
        </w:rPr>
        <w:t>Summer Undergraduate Research Program (SURE), and the additional support from Thornton Tomasetti.</w:t>
      </w:r>
    </w:p>
    <w:sectPr w:rsidR="00FF1C1A" w:rsidRPr="00E806A3" w:rsidSect="001C682A">
      <w:type w:val="continuous"/>
      <w:pgSz w:w="12240" w:h="15840"/>
      <w:pgMar w:top="1129" w:right="1146" w:bottom="1440" w:left="1146" w:header="72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03A4"/>
    <w:multiLevelType w:val="multilevel"/>
    <w:tmpl w:val="BA9472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6399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1A"/>
    <w:rsid w:val="00024713"/>
    <w:rsid w:val="00034A63"/>
    <w:rsid w:val="00045590"/>
    <w:rsid w:val="000743D7"/>
    <w:rsid w:val="000A02F8"/>
    <w:rsid w:val="000B69D4"/>
    <w:rsid w:val="000E02A5"/>
    <w:rsid w:val="00130436"/>
    <w:rsid w:val="001368E2"/>
    <w:rsid w:val="00140B9E"/>
    <w:rsid w:val="00142314"/>
    <w:rsid w:val="00160277"/>
    <w:rsid w:val="001A291B"/>
    <w:rsid w:val="001B3A02"/>
    <w:rsid w:val="001C682A"/>
    <w:rsid w:val="001C7A25"/>
    <w:rsid w:val="001E763C"/>
    <w:rsid w:val="00240175"/>
    <w:rsid w:val="002412E1"/>
    <w:rsid w:val="00254D0B"/>
    <w:rsid w:val="0029452A"/>
    <w:rsid w:val="002978D8"/>
    <w:rsid w:val="002B503B"/>
    <w:rsid w:val="002C3FBD"/>
    <w:rsid w:val="002D78AF"/>
    <w:rsid w:val="002F4504"/>
    <w:rsid w:val="003331EE"/>
    <w:rsid w:val="003406D9"/>
    <w:rsid w:val="00343054"/>
    <w:rsid w:val="00347AF7"/>
    <w:rsid w:val="00365555"/>
    <w:rsid w:val="00392B30"/>
    <w:rsid w:val="003D17F2"/>
    <w:rsid w:val="003E3446"/>
    <w:rsid w:val="003F63A5"/>
    <w:rsid w:val="0042061F"/>
    <w:rsid w:val="00450D6F"/>
    <w:rsid w:val="0046351A"/>
    <w:rsid w:val="00476B54"/>
    <w:rsid w:val="00493809"/>
    <w:rsid w:val="004D2098"/>
    <w:rsid w:val="004D65D9"/>
    <w:rsid w:val="005158C8"/>
    <w:rsid w:val="00523A9D"/>
    <w:rsid w:val="00530BE6"/>
    <w:rsid w:val="00533DF7"/>
    <w:rsid w:val="005360D9"/>
    <w:rsid w:val="00570931"/>
    <w:rsid w:val="00575B7A"/>
    <w:rsid w:val="005A246E"/>
    <w:rsid w:val="005A36B7"/>
    <w:rsid w:val="005B4FED"/>
    <w:rsid w:val="005B61F6"/>
    <w:rsid w:val="005C6548"/>
    <w:rsid w:val="005E6D5D"/>
    <w:rsid w:val="00610B39"/>
    <w:rsid w:val="00657872"/>
    <w:rsid w:val="00670ED4"/>
    <w:rsid w:val="00677782"/>
    <w:rsid w:val="00692FE2"/>
    <w:rsid w:val="006A5133"/>
    <w:rsid w:val="006A6E6B"/>
    <w:rsid w:val="006B38D0"/>
    <w:rsid w:val="006C761E"/>
    <w:rsid w:val="006D6199"/>
    <w:rsid w:val="00725C39"/>
    <w:rsid w:val="00751B2E"/>
    <w:rsid w:val="00763967"/>
    <w:rsid w:val="00781C80"/>
    <w:rsid w:val="007916CE"/>
    <w:rsid w:val="00792472"/>
    <w:rsid w:val="00794BB1"/>
    <w:rsid w:val="007C5E7B"/>
    <w:rsid w:val="007E6247"/>
    <w:rsid w:val="008453C1"/>
    <w:rsid w:val="0085382A"/>
    <w:rsid w:val="00857929"/>
    <w:rsid w:val="00876233"/>
    <w:rsid w:val="008A3C7F"/>
    <w:rsid w:val="008C0207"/>
    <w:rsid w:val="009265B7"/>
    <w:rsid w:val="00932A48"/>
    <w:rsid w:val="00940EBF"/>
    <w:rsid w:val="00953ECF"/>
    <w:rsid w:val="00966BF5"/>
    <w:rsid w:val="009701B8"/>
    <w:rsid w:val="00990E87"/>
    <w:rsid w:val="00990F0B"/>
    <w:rsid w:val="009A4DA5"/>
    <w:rsid w:val="009D2B99"/>
    <w:rsid w:val="009F6DDA"/>
    <w:rsid w:val="00A11CA9"/>
    <w:rsid w:val="00A2644C"/>
    <w:rsid w:val="00A34035"/>
    <w:rsid w:val="00A43EEE"/>
    <w:rsid w:val="00A52767"/>
    <w:rsid w:val="00A76947"/>
    <w:rsid w:val="00A933DA"/>
    <w:rsid w:val="00AA7A29"/>
    <w:rsid w:val="00AC7A42"/>
    <w:rsid w:val="00AD3CC6"/>
    <w:rsid w:val="00AE6EC1"/>
    <w:rsid w:val="00B0586B"/>
    <w:rsid w:val="00B12F1F"/>
    <w:rsid w:val="00B45209"/>
    <w:rsid w:val="00BA11A3"/>
    <w:rsid w:val="00BC647F"/>
    <w:rsid w:val="00BD283B"/>
    <w:rsid w:val="00BE04A1"/>
    <w:rsid w:val="00BE1E3E"/>
    <w:rsid w:val="00BF7B52"/>
    <w:rsid w:val="00C07394"/>
    <w:rsid w:val="00C26B99"/>
    <w:rsid w:val="00C320B9"/>
    <w:rsid w:val="00C604B7"/>
    <w:rsid w:val="00C66A06"/>
    <w:rsid w:val="00C86056"/>
    <w:rsid w:val="00C971E1"/>
    <w:rsid w:val="00CB2785"/>
    <w:rsid w:val="00CC2A68"/>
    <w:rsid w:val="00CC6D7A"/>
    <w:rsid w:val="00CE6438"/>
    <w:rsid w:val="00CF4DC0"/>
    <w:rsid w:val="00D03C27"/>
    <w:rsid w:val="00D17664"/>
    <w:rsid w:val="00D25BF2"/>
    <w:rsid w:val="00D37305"/>
    <w:rsid w:val="00D4519F"/>
    <w:rsid w:val="00D55F6A"/>
    <w:rsid w:val="00D77261"/>
    <w:rsid w:val="00DB302A"/>
    <w:rsid w:val="00DE7D2E"/>
    <w:rsid w:val="00DF25CB"/>
    <w:rsid w:val="00E165AD"/>
    <w:rsid w:val="00E26431"/>
    <w:rsid w:val="00E50ECF"/>
    <w:rsid w:val="00E557C1"/>
    <w:rsid w:val="00E604CA"/>
    <w:rsid w:val="00E806A3"/>
    <w:rsid w:val="00E82040"/>
    <w:rsid w:val="00EA0241"/>
    <w:rsid w:val="00EB6FDB"/>
    <w:rsid w:val="00EC34C8"/>
    <w:rsid w:val="00ED62D5"/>
    <w:rsid w:val="00EE76D4"/>
    <w:rsid w:val="00F13A81"/>
    <w:rsid w:val="00F370C7"/>
    <w:rsid w:val="00F60D6F"/>
    <w:rsid w:val="00F86D0C"/>
    <w:rsid w:val="00FF1C1A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586F"/>
  <w15:chartTrackingRefBased/>
  <w15:docId w15:val="{EB4CBB56-0580-244D-A06A-848586C1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1A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alheib</dc:creator>
  <cp:keywords/>
  <dc:description/>
  <cp:lastModifiedBy>nigel cole</cp:lastModifiedBy>
  <cp:revision>2</cp:revision>
  <dcterms:created xsi:type="dcterms:W3CDTF">2024-07-26T23:39:00Z</dcterms:created>
  <dcterms:modified xsi:type="dcterms:W3CDTF">2024-07-26T23:39:00Z</dcterms:modified>
</cp:coreProperties>
</file>